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5452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page">
              <wp:posOffset>1048385</wp:posOffset>
            </wp:positionH>
            <wp:positionV relativeFrom="page">
              <wp:posOffset>483235</wp:posOffset>
            </wp:positionV>
            <wp:extent cx="54521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July 28, 2020</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G-III APPAREL GROUP,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9019"/>
          </w:cols>
          <w:pgMar w:left="1440" w:top="99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2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0-18183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639"/>
        <w:spacing w:after="0"/>
        <w:rPr>
          <w:sz w:val="20"/>
          <w:szCs w:val="20"/>
          <w:color w:val="auto"/>
        </w:rPr>
      </w:pPr>
      <w:r>
        <w:rPr>
          <w:rFonts w:ascii="Arial" w:cs="Arial" w:eastAsia="Arial" w:hAnsi="Arial"/>
          <w:sz w:val="18"/>
          <w:szCs w:val="18"/>
          <w:b w:val="1"/>
          <w:bCs w:val="1"/>
          <w:color w:val="auto"/>
        </w:rPr>
        <w:t>41-1590959</w:t>
      </w:r>
    </w:p>
    <w:p>
      <w:pPr>
        <w:spacing w:after="0" w:line="27" w:lineRule="exact"/>
        <w:rPr>
          <w:sz w:val="24"/>
          <w:szCs w:val="24"/>
          <w:color w:val="auto"/>
        </w:rPr>
      </w:pPr>
    </w:p>
    <w:p>
      <w:pPr>
        <w:jc w:val="center"/>
        <w:ind w:right="1639"/>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639"/>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520" w:space="240"/>
            <w:col w:w="1980" w:space="300"/>
            <w:col w:w="2979"/>
          </w:cols>
          <w:pgMar w:left="1440" w:top="999" w:right="1440" w:bottom="1440" w:gutter="0" w:footer="0" w:header="0"/>
          <w:type w:val="continuous"/>
        </w:sectPr>
      </w:pPr>
    </w:p>
    <w:p>
      <w:pPr>
        <w:spacing w:after="0" w:line="20" w:lineRule="exact"/>
        <w:rPr>
          <w:sz w:val="24"/>
          <w:szCs w:val="24"/>
          <w:color w:val="auto"/>
        </w:rPr>
      </w:pPr>
    </w:p>
    <w:p>
      <w:pPr>
        <w:jc w:val="center"/>
        <w:ind w:left="1640" w:right="480"/>
        <w:spacing w:after="0" w:line="266" w:lineRule="auto"/>
        <w:rPr>
          <w:sz w:val="20"/>
          <w:szCs w:val="20"/>
          <w:color w:val="auto"/>
        </w:rPr>
      </w:pPr>
      <w:r>
        <w:rPr>
          <w:rFonts w:ascii="Arial" w:cs="Arial" w:eastAsia="Arial" w:hAnsi="Arial"/>
          <w:sz w:val="18"/>
          <w:szCs w:val="18"/>
          <w:b w:val="1"/>
          <w:bCs w:val="1"/>
          <w:color w:val="auto"/>
        </w:rPr>
        <w:t xml:space="preserve">512 Seventh Avenue New York, New York </w:t>
      </w: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79"/>
        <w:spacing w:after="0"/>
        <w:rPr>
          <w:sz w:val="20"/>
          <w:szCs w:val="20"/>
          <w:color w:val="auto"/>
        </w:rPr>
      </w:pPr>
      <w:r>
        <w:rPr>
          <w:rFonts w:ascii="Arial" w:cs="Arial" w:eastAsia="Arial" w:hAnsi="Arial"/>
          <w:sz w:val="18"/>
          <w:szCs w:val="18"/>
          <w:b w:val="1"/>
          <w:bCs w:val="1"/>
          <w:color w:val="auto"/>
        </w:rPr>
        <w:t>10018</w:t>
      </w:r>
    </w:p>
    <w:p>
      <w:pPr>
        <w:spacing w:after="0" w:line="27" w:lineRule="exact"/>
        <w:rPr>
          <w:sz w:val="24"/>
          <w:szCs w:val="24"/>
          <w:color w:val="auto"/>
        </w:rPr>
      </w:pPr>
    </w:p>
    <w:p>
      <w:pPr>
        <w:jc w:val="center"/>
        <w:ind w:right="2479"/>
        <w:spacing w:after="0"/>
        <w:rPr>
          <w:sz w:val="20"/>
          <w:szCs w:val="20"/>
          <w:color w:val="auto"/>
        </w:rPr>
      </w:pPr>
      <w:r>
        <w:rPr>
          <w:rFonts w:ascii="Arial" w:cs="Arial" w:eastAsia="Arial" w:hAnsi="Arial"/>
          <w:sz w:val="16"/>
          <w:szCs w:val="16"/>
          <w:color w:val="auto"/>
        </w:rPr>
        <w:t>(Zip Code)</w:t>
      </w:r>
    </w:p>
    <w:p>
      <w:pPr>
        <w:spacing w:after="0" w:line="445" w:lineRule="exact"/>
        <w:rPr>
          <w:sz w:val="24"/>
          <w:szCs w:val="24"/>
          <w:color w:val="auto"/>
        </w:rPr>
      </w:pPr>
    </w:p>
    <w:p>
      <w:pPr>
        <w:sectPr>
          <w:pgSz w:w="11900" w:h="16838" w:orient="portrait"/>
          <w:cols w:equalWidth="0" w:num="2">
            <w:col w:w="5040" w:space="720"/>
            <w:col w:w="3259"/>
          </w:cols>
          <w:pgMar w:left="1440" w:top="999"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(212) 403-0500</w:t>
      </w:r>
    </w:p>
    <w:p>
      <w:pPr>
        <w:sectPr>
          <w:pgSz w:w="11900" w:h="16838" w:orient="portrait"/>
          <w:cols w:equalWidth="0" w:num="1">
            <w:col w:w="9019"/>
          </w:cols>
          <w:pgMar w:left="1440" w:top="999" w:right="1440" w:bottom="1440" w:gutter="0" w:footer="0" w:header="0"/>
          <w:type w:val="continuous"/>
        </w:sectPr>
      </w:pP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left="200" w:right="47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540" w:hanging="331"/>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45" w:lineRule="exact"/>
        <w:rPr>
          <w:sz w:val="24"/>
          <w:szCs w:val="24"/>
          <w:color w:val="auto"/>
        </w:rPr>
      </w:pPr>
    </w:p>
    <w:p>
      <w:pPr>
        <w:ind w:left="2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90" w:type="dxa"/>
        <w:tblCellMar>
          <w:top w:w="0" w:type="dxa"/>
          <w:left w:w="0" w:type="dxa"/>
          <w:bottom w:w="0" w:type="dxa"/>
          <w:right w:w="0" w:type="dxa"/>
        </w:tblCellMar>
      </w:tblPr>
      <w:tr>
        <w:trPr>
          <w:trHeight w:val="244"/>
        </w:trPr>
        <w:tc>
          <w:tcPr>
            <w:tcW w:w="3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24"/>
        </w:trPr>
        <w:tc>
          <w:tcPr>
            <w:tcW w:w="3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GIII</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r>
        <w:trPr>
          <w:trHeight w:val="26"/>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ind w:left="200" w:right="219"/>
        <w:spacing w:after="0" w:line="28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w:t>
      </w:r>
    </w:p>
    <w:p>
      <w:pPr>
        <w:spacing w:after="0" w:line="1" w:lineRule="exact"/>
        <w:rPr>
          <w:sz w:val="24"/>
          <w:szCs w:val="24"/>
          <w:color w:val="auto"/>
        </w:rPr>
      </w:pPr>
    </w:p>
    <w:p>
      <w:pPr>
        <w:ind w:left="200"/>
        <w:spacing w:after="0" w:line="207" w:lineRule="exact"/>
        <w:tabs>
          <w:tab w:leader="none" w:pos="4720" w:val="left"/>
        </w:tabs>
        <w:rPr>
          <w:sz w:val="20"/>
          <w:szCs w:val="20"/>
          <w:color w:val="auto"/>
        </w:rPr>
      </w:pPr>
      <w:r>
        <w:rPr>
          <w:rFonts w:ascii="Arial" w:cs="Arial" w:eastAsia="Arial" w:hAnsi="Arial"/>
          <w:sz w:val="18"/>
          <w:szCs w:val="18"/>
          <w:color w:val="auto"/>
        </w:rPr>
        <w:t>chapter).</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32" w:lineRule="exact"/>
        <w:rPr>
          <w:sz w:val="24"/>
          <w:szCs w:val="24"/>
          <w:color w:val="auto"/>
        </w:rPr>
      </w:pPr>
    </w:p>
    <w:p>
      <w:pPr>
        <w:jc w:val="both"/>
        <w:ind w:left="200" w:right="21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605790</wp:posOffset>
            </wp:positionV>
            <wp:extent cx="54521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228600</wp:posOffset>
            </wp:positionV>
            <wp:extent cx="545211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194310</wp:posOffset>
            </wp:positionV>
            <wp:extent cx="54521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99" w:right="1440" w:bottom="1440" w:gutter="0" w:footer="0" w:header="0"/>
          <w:type w:val="continuous"/>
        </w:sectPr>
      </w:pPr>
    </w:p>
    <w:bookmarkStart w:id="1" w:name="page2"/>
    <w:bookmarkEnd w:id="1"/>
    <w:p>
      <w:pPr>
        <w:ind w:left="200"/>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8"/>
          <w:szCs w:val="18"/>
          <w:color w:val="auto"/>
        </w:rPr>
        <w:t>G-III Apparel Group, Ltd. (the “Company”) announced the commencement of a private offering (the “Offering”) of $350 million aggregate principal amount of senior secured notes due 2025 (the “Notes”). Substantially concurrently with completion of the Offering, the Company expects to enter into the Second Amended and Restated Credit Agreement (the “Amended ABL Credit Agreement”), which the Company expects will be a five-year senior secured credit facility providing for borrowings in the aggregate principal amount of up to $650 million. The Amended ABL Credit Agreement will among other things, (i) extend the maturity date, subject to a springing maturity date if, subject to certain conditions, certain material indebtedness is not refinanced or repaid prior to the date that is 91 days prior to the date of any relevant payment thereunder and (ii) increase the interest rate margins and unused commitment fees thereunder.</w:t>
      </w:r>
    </w:p>
    <w:p>
      <w:pPr>
        <w:spacing w:after="0" w:line="196"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7"/>
          <w:szCs w:val="17"/>
          <w:color w:val="auto"/>
        </w:rPr>
        <w:t>Pursuant to Regulation FD, in connection with the Offering, the Company is furnishing as part of this Current Report on Form 8-K: (1) the section captioned “Summary—Summary Historical Financial and Other Data” of a preliminary offering memorandum, dated July 28, 2020, as Exhibit 99.1 and (2) an investor presentation, dated July 2020, as Exhibit 99.2. The information provided under this Item 7.01, including the exhibits attached hereto, is being furnished and shall not be deemed “filed” for purposes of Section 18 of the Securities Exchange Act of 1934, as amended (the “Exchange Act”), or otherwise subject to the liabilities of such section.</w:t>
      </w:r>
    </w:p>
    <w:p>
      <w:pPr>
        <w:spacing w:after="0" w:line="178" w:lineRule="exact"/>
        <w:rPr>
          <w:sz w:val="20"/>
          <w:szCs w:val="20"/>
          <w:color w:val="auto"/>
        </w:rPr>
      </w:pPr>
    </w:p>
    <w:p>
      <w:pPr>
        <w:ind w:left="200" w:right="219"/>
        <w:spacing w:after="0" w:line="257" w:lineRule="auto"/>
        <w:rPr>
          <w:sz w:val="20"/>
          <w:szCs w:val="20"/>
          <w:color w:val="auto"/>
        </w:rPr>
      </w:pPr>
      <w:r>
        <w:rPr>
          <w:rFonts w:ascii="Arial" w:cs="Arial" w:eastAsia="Arial" w:hAnsi="Arial"/>
          <w:sz w:val="18"/>
          <w:szCs w:val="18"/>
          <w:color w:val="auto"/>
        </w:rPr>
        <w:t>The information provided under this Item 7.01, including the exhibits, shall not be incorporated by reference into any filing under the Securities Act of 1933, as amended, or the Exchange Act, except as shall be expressly set forth by specific reference in any such filing. This Current Report on Form 8-K shall not be deemed an admission as to the materiality of any information in this Current Report on Form 8-K that is required to be disclosed solely by Regulation FD.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18"/>
          <w:szCs w:val="18"/>
          <w:color w:val="auto"/>
        </w:rPr>
        <w:t>On July 28, 2020, the Company announced that it commenced the Offering. The Company intends to use the net proceeds from the Offering to repay its term loan facility, to pay related fees and expenses and for general corporate purposes. A copy of the press release making this announcement is attached hereto as Exhibit 99.3 to this Current Report on Form 8-K and is incorporated herein by reference.</w:t>
      </w:r>
    </w:p>
    <w:p>
      <w:pPr>
        <w:spacing w:after="0" w:line="187" w:lineRule="exact"/>
        <w:rPr>
          <w:sz w:val="20"/>
          <w:szCs w:val="20"/>
          <w:color w:val="auto"/>
        </w:rPr>
      </w:pPr>
    </w:p>
    <w:p>
      <w:pPr>
        <w:jc w:val="both"/>
        <w:ind w:left="200" w:right="219"/>
        <w:spacing w:after="0" w:line="277" w:lineRule="auto"/>
        <w:rPr>
          <w:sz w:val="20"/>
          <w:szCs w:val="20"/>
          <w:color w:val="auto"/>
        </w:rPr>
      </w:pPr>
      <w:r>
        <w:rPr>
          <w:rFonts w:ascii="Arial" w:cs="Arial" w:eastAsia="Arial" w:hAnsi="Arial"/>
          <w:sz w:val="18"/>
          <w:szCs w:val="18"/>
          <w:color w:val="auto"/>
        </w:rPr>
        <w:t>The information in this Current Report on Form 8-K is neither an offer to sell nor a solicitation of an offer to buy any securities.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Language Concerning Forward-Looking Statements</w:t>
      </w:r>
    </w:p>
    <w:p>
      <w:pPr>
        <w:spacing w:after="0" w:line="229"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8"/>
          <w:szCs w:val="18"/>
          <w:color w:val="auto"/>
        </w:rPr>
        <w:t>Various statements contained in this Current Report (including the exhibits attached hereto)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“plans,”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15" w:lineRule="exact"/>
        <w:rPr>
          <w:sz w:val="20"/>
          <w:szCs w:val="20"/>
          <w:color w:val="auto"/>
        </w:rPr>
      </w:pPr>
    </w:p>
    <w:p>
      <w:pPr>
        <w:jc w:val="both"/>
        <w:ind w:left="1180" w:right="219" w:hanging="323"/>
        <w:spacing w:after="0" w:line="253"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outbreak of COVID-19 and its numerous adverse effects, including the closing of stores and shopping malls, the reduction of consumer purchases of the types of products we sell, the impact on our supply chain, restrictions on travel and group gatherings and the general material adverse effect on the economy in the U.S. and around the world, all of which negatively impact our business, sales and results of operations;</w:t>
      </w:r>
    </w:p>
    <w:p>
      <w:pPr>
        <w:spacing w:after="0" w:line="3" w:lineRule="exact"/>
        <w:rPr>
          <w:rFonts w:ascii="Arial" w:cs="Arial" w:eastAsia="Arial" w:hAnsi="Arial"/>
          <w:sz w:val="18"/>
          <w:szCs w:val="18"/>
          <w:color w:val="auto"/>
        </w:rPr>
      </w:pPr>
    </w:p>
    <w:p>
      <w:pPr>
        <w:ind w:left="1180" w:hanging="323"/>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licensed products;</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costs and uncertainties with respect to expansion of our product offerings;</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performance of our products at retail and customer acceptance of new products;</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retail customer concentration;</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doing business abroad;</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recent adoption of a national security law in Hong Kong;</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622935</wp:posOffset>
            </wp:positionV>
            <wp:extent cx="545211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2" w:name="page3"/>
    <w:bookmarkEnd w:id="2"/>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23" w:lineRule="exact"/>
        <w:rPr>
          <w:rFonts w:ascii="Arial" w:cs="Arial" w:eastAsia="Arial" w:hAnsi="Arial"/>
          <w:sz w:val="18"/>
          <w:szCs w:val="18"/>
          <w:color w:val="auto"/>
        </w:rPr>
      </w:pPr>
    </w:p>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our retail operations segment;</w:t>
      </w:r>
    </w:p>
    <w:p>
      <w:pPr>
        <w:spacing w:after="0" w:line="9" w:lineRule="exact"/>
        <w:rPr>
          <w:rFonts w:ascii="Arial" w:cs="Arial" w:eastAsia="Arial" w:hAnsi="Arial"/>
          <w:sz w:val="18"/>
          <w:szCs w:val="18"/>
          <w:color w:val="auto"/>
        </w:rPr>
      </w:pPr>
    </w:p>
    <w:p>
      <w:pPr>
        <w:jc w:val="both"/>
        <w:ind w:left="1180" w:right="219" w:hanging="323"/>
        <w:spacing w:after="0" w:line="250"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operating enhancements and cost reductions from the restructuring of our retail operations, as well as the impact on our business and financial statements resulting from any related costs and charges which may be dilutive to our earnings;</w:t>
      </w:r>
    </w:p>
    <w:p>
      <w:pPr>
        <w:spacing w:after="0" w:line="1" w:lineRule="exact"/>
        <w:rPr>
          <w:rFonts w:ascii="Arial" w:cs="Arial" w:eastAsia="Arial" w:hAnsi="Arial"/>
          <w:sz w:val="18"/>
          <w:szCs w:val="18"/>
          <w:color w:val="auto"/>
        </w:rPr>
      </w:pPr>
    </w:p>
    <w:p>
      <w:pPr>
        <w:ind w:left="1180" w:right="219" w:hanging="323"/>
        <w:spacing w:after="0" w:line="250"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and financial statements related to the early closure of stores or the termination of long-term leases;</w:t>
      </w:r>
    </w:p>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 nature of our business;</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foreign manufacturers;</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1180" w:right="219" w:hanging="323"/>
        <w:spacing w:after="0" w:line="250"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exposure to consumer privacy, cybersecurity and fraud concerns, including as a result of the remote working environment;</w:t>
      </w:r>
    </w:p>
    <w:p>
      <w:pPr>
        <w:ind w:left="1180" w:hanging="323"/>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current economic and credit environment on us, our customers, suppliers and vendors;</w:t>
      </w:r>
    </w:p>
    <w:p>
      <w:pPr>
        <w:spacing w:after="0" w:line="32" w:lineRule="exact"/>
        <w:rPr>
          <w:rFonts w:ascii="Arial" w:cs="Arial" w:eastAsia="Arial" w:hAnsi="Arial"/>
          <w:sz w:val="16"/>
          <w:szCs w:val="16"/>
          <w:color w:val="auto"/>
        </w:rPr>
      </w:pPr>
    </w:p>
    <w:p>
      <w:pPr>
        <w:ind w:left="1180" w:hanging="323"/>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competition in the markets in which we operate, including from e-commerce retailers;</w:t>
      </w:r>
    </w:p>
    <w:p>
      <w:pPr>
        <w:spacing w:after="0" w:line="20" w:lineRule="exact"/>
        <w:rPr>
          <w:rFonts w:ascii="Arial" w:cs="Arial" w:eastAsia="Arial" w:hAnsi="Arial"/>
          <w:sz w:val="17"/>
          <w:szCs w:val="17"/>
          <w:color w:val="auto"/>
        </w:rPr>
      </w:pPr>
    </w:p>
    <w:p>
      <w:pPr>
        <w:jc w:val="both"/>
        <w:ind w:left="1180" w:right="219" w:hanging="323"/>
        <w:spacing w:after="0" w:line="250"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redefinition of the retail store landscape in light of widespread retail store closings, the bankruptcy of a number of prominent retailers and the impact of online apparel purchases and innovations by e-commerce retailers;</w:t>
      </w:r>
    </w:p>
    <w:p>
      <w:pPr>
        <w:spacing w:after="0" w:line="1" w:lineRule="exact"/>
        <w:rPr>
          <w:rFonts w:ascii="Arial" w:cs="Arial" w:eastAsia="Arial" w:hAnsi="Arial"/>
          <w:sz w:val="18"/>
          <w:szCs w:val="18"/>
          <w:color w:val="auto"/>
        </w:rPr>
      </w:pPr>
    </w:p>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our retail customers;</w:t>
      </w:r>
    </w:p>
    <w:p>
      <w:pPr>
        <w:spacing w:after="0" w:line="9" w:lineRule="exact"/>
        <w:rPr>
          <w:rFonts w:ascii="Arial" w:cs="Arial" w:eastAsia="Arial" w:hAnsi="Arial"/>
          <w:sz w:val="18"/>
          <w:szCs w:val="18"/>
          <w:color w:val="auto"/>
        </w:rPr>
      </w:pPr>
    </w:p>
    <w:p>
      <w:pPr>
        <w:ind w:left="1180" w:right="219" w:hanging="323"/>
        <w:spacing w:after="0" w:line="250"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legislation and/or regulation in the United States or around the world;</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import products in a timely and cost effective manner;</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maintain our reputation;</w:t>
      </w:r>
    </w:p>
    <w:p>
      <w:pPr>
        <w:spacing w:after="0" w:line="9" w:lineRule="exact"/>
        <w:rPr>
          <w:rFonts w:ascii="Arial" w:cs="Arial" w:eastAsia="Arial" w:hAnsi="Arial"/>
          <w:sz w:val="18"/>
          <w:szCs w:val="18"/>
          <w:color w:val="auto"/>
        </w:rPr>
      </w:pPr>
    </w:p>
    <w:p>
      <w:pPr>
        <w:ind w:left="1180" w:hanging="323"/>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 and</w:t>
      </w:r>
    </w:p>
    <w:p>
      <w:pPr>
        <w:spacing w:after="0" w:line="9" w:lineRule="exact"/>
        <w:rPr>
          <w:rFonts w:ascii="Arial" w:cs="Arial" w:eastAsia="Arial" w:hAnsi="Arial"/>
          <w:sz w:val="18"/>
          <w:szCs w:val="18"/>
          <w:color w:val="auto"/>
        </w:rPr>
      </w:pPr>
    </w:p>
    <w:p>
      <w:pPr>
        <w:jc w:val="both"/>
        <w:ind w:left="1180" w:right="219" w:hanging="323"/>
        <w:spacing w:after="0" w:line="253"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other risk factors described in detail in our Annual Report on Form 10-K for the fiscal year ended January 31, 2020, filed with the U.S. Securities Exchange Commission (the “SEC”) on March 30, 2020, and in our Quarterly Report on Form 10-Q for the fiscal quarter ended April 30, 2020, filed with the SEC on June 9, 2020, and in any subsequent filings with the SEC.</w:t>
      </w:r>
    </w:p>
    <w:p>
      <w:pPr>
        <w:spacing w:after="0" w:line="193" w:lineRule="exact"/>
        <w:rPr>
          <w:sz w:val="20"/>
          <w:szCs w:val="20"/>
          <w:color w:val="auto"/>
        </w:rPr>
      </w:pPr>
    </w:p>
    <w:p>
      <w:pPr>
        <w:jc w:val="both"/>
        <w:ind w:left="200" w:right="219"/>
        <w:spacing w:after="0" w:line="270" w:lineRule="auto"/>
        <w:rPr>
          <w:sz w:val="20"/>
          <w:szCs w:val="20"/>
          <w:color w:val="auto"/>
        </w:rPr>
      </w:pPr>
      <w:r>
        <w:rPr>
          <w:rFonts w:ascii="Arial" w:cs="Arial" w:eastAsia="Arial" w:hAnsi="Arial"/>
          <w:sz w:val="17"/>
          <w:szCs w:val="17"/>
          <w:color w:val="auto"/>
        </w:rPr>
        <w:t>Although we believe that these forward-looking statements are based upon reasonable assumptions, these assumptions are based largely on our expectations and judgments and are subject to a number of risks and uncertainties, many of which are unforeseeable and beyond our control. Accordingly, we cannot give any assurance that our expectations will in fact occur and caution that actual results may differ materially from those in the forward-looking statements. Given these uncertainties, prospective investors are cautioned not to place undue reliance on these forward-looking statements. A detailed discussion of significant risk factors that have the potential to cause our actual results to differ materially from our expectations is described under the heading “Risk Factors” in our filings with the SEC. We undertake no obligation to publicly update or revise any forward-looking statements, whether as a result of new information, future events or otherwise, except as required by law.</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exhibits are filed herewith:</w:t>
      </w:r>
    </w:p>
    <w:p>
      <w:pPr>
        <w:spacing w:after="0" w:line="239" w:lineRule="exact"/>
        <w:rPr>
          <w:sz w:val="20"/>
          <w:szCs w:val="20"/>
          <w:color w:val="auto"/>
        </w:rPr>
      </w:pPr>
    </w:p>
    <w:p>
      <w:pPr>
        <w:ind w:left="22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Excerpt from G-III Apparel Group, Ltd.’s Preliminary Offering Memorandum, dated July 28, 2020.</w:t>
        </w:r>
      </w:hyperlink>
    </w:p>
    <w:p>
      <w:pPr>
        <w:spacing w:after="0" w:line="104" w:lineRule="exact"/>
        <w:rPr>
          <w:sz w:val="20"/>
          <w:szCs w:val="20"/>
          <w:color w:val="auto"/>
        </w:rPr>
      </w:pPr>
    </w:p>
    <w:p>
      <w:pPr>
        <w:ind w:left="22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7">
        <w:r>
          <w:rPr>
            <w:rFonts w:ascii="Arial" w:cs="Arial" w:eastAsia="Arial" w:hAnsi="Arial"/>
            <w:sz w:val="16"/>
            <w:szCs w:val="16"/>
            <w:u w:val="single" w:color="auto"/>
            <w:color w:val="0000EE"/>
          </w:rPr>
          <w:t>Excerpt from G-III Apparel Group, Ltd.’s Investor Presentation, dated July 2020.</w:t>
        </w:r>
      </w:hyperlink>
    </w:p>
    <w:p>
      <w:pPr>
        <w:spacing w:after="0" w:line="104" w:lineRule="exact"/>
        <w:rPr>
          <w:sz w:val="20"/>
          <w:szCs w:val="20"/>
          <w:color w:val="auto"/>
        </w:rPr>
      </w:pPr>
    </w:p>
    <w:p>
      <w:pPr>
        <w:ind w:left="22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w:anchor="page39">
        <w:r>
          <w:rPr>
            <w:rFonts w:ascii="Arial" w:cs="Arial" w:eastAsia="Arial" w:hAnsi="Arial"/>
            <w:sz w:val="16"/>
            <w:szCs w:val="16"/>
            <w:u w:val="single" w:color="auto"/>
            <w:color w:val="0000EE"/>
          </w:rPr>
          <w:t>Press Release of G-III Apparel Group, Ltd., dated July 28,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1146175</wp:posOffset>
            </wp:positionV>
            <wp:extent cx="54521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left="200" w:right="2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p>
        </w:tc>
        <w:tc>
          <w:tcPr>
            <w:tcW w:w="5760" w:type="dxa"/>
            <w:vAlign w:val="bottom"/>
            <w:gridSpan w:val="2"/>
          </w:tcPr>
          <w:p>
            <w:pPr>
              <w:ind w:left="1420"/>
              <w:spacing w:after="0"/>
              <w:rPr>
                <w:sz w:val="20"/>
                <w:szCs w:val="20"/>
                <w:color w:val="auto"/>
              </w:rPr>
            </w:pPr>
            <w:r>
              <w:rPr>
                <w:rFonts w:ascii="Arial" w:cs="Arial" w:eastAsia="Arial" w:hAnsi="Arial"/>
                <w:sz w:val="18"/>
                <w:szCs w:val="18"/>
                <w:color w:val="auto"/>
              </w:rPr>
              <w:t>G-III APPAREL GROUP, LTD.</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Date: July 28, 2020</w:t>
            </w:r>
          </w:p>
        </w:tc>
        <w:tc>
          <w:tcPr>
            <w:tcW w:w="5760" w:type="dxa"/>
            <w:vAlign w:val="bottom"/>
            <w:gridSpan w:val="2"/>
          </w:tcPr>
          <w:p>
            <w:pPr>
              <w:ind w:left="1420"/>
              <w:spacing w:after="0"/>
              <w:rPr>
                <w:sz w:val="20"/>
                <w:szCs w:val="20"/>
                <w:color w:val="auto"/>
              </w:rPr>
            </w:pPr>
            <w:r>
              <w:rPr>
                <w:rFonts w:ascii="Arial" w:cs="Arial" w:eastAsia="Arial" w:hAnsi="Arial"/>
                <w:sz w:val="18"/>
                <w:szCs w:val="18"/>
                <w:color w:val="auto"/>
              </w:rPr>
              <w:t>By:   /s/  Neal S. Nackman</w:t>
            </w:r>
          </w:p>
        </w:tc>
      </w:tr>
      <w:tr>
        <w:trPr>
          <w:trHeight w:val="195"/>
        </w:trPr>
        <w:tc>
          <w:tcPr>
            <w:tcW w:w="28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28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1856"/>
        </w:trPr>
        <w:tc>
          <w:tcPr>
            <w:tcW w:w="28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4" w:name="page5"/>
    <w:bookmarkEnd w:id="4"/>
    <w:p>
      <w:pPr>
        <w:jc w:val="right"/>
        <w:ind w:right="219"/>
        <w:spacing w:after="0"/>
        <w:rPr>
          <w:sz w:val="20"/>
          <w:szCs w:val="20"/>
          <w:color w:val="auto"/>
        </w:rPr>
      </w:pPr>
      <w:r>
        <w:rPr>
          <w:rFonts w:ascii="Arial" w:cs="Arial" w:eastAsia="Arial" w:hAnsi="Arial"/>
          <w:sz w:val="18"/>
          <w:szCs w:val="18"/>
          <w:b w:val="1"/>
          <w:bCs w:val="1"/>
          <w:color w:val="auto"/>
        </w:rPr>
        <w:t>Exhibit 99.1</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Historical Financial and Other Data</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reconciliation of net income (loss) to Consolidated Adjusted EBITDA (as reported) and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Consolidated Adjusted EBITDA:</w:t>
      </w:r>
    </w:p>
    <w:p>
      <w:pPr>
        <w:sectPr>
          <w:pgSz w:w="11900" w:h="16838" w:orient="portrait"/>
          <w:cols w:equalWidth="0" w:num="1">
            <w:col w:w="9019"/>
          </w:cols>
          <w:pgMar w:left="1440" w:top="3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right="560"/>
        <w:spacing w:after="0" w:line="334" w:lineRule="auto"/>
        <w:rPr>
          <w:sz w:val="20"/>
          <w:szCs w:val="20"/>
          <w:color w:val="auto"/>
        </w:rPr>
      </w:pPr>
      <w:r>
        <w:rPr>
          <w:rFonts w:ascii="Arial" w:cs="Arial" w:eastAsia="Arial" w:hAnsi="Arial"/>
          <w:sz w:val="10"/>
          <w:szCs w:val="10"/>
          <w:color w:val="auto"/>
        </w:rPr>
        <w:t>Net income (loss) Transitional expenses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-116205</wp:posOffset>
            </wp:positionV>
            <wp:extent cx="8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-116205</wp:posOffset>
            </wp:positionV>
            <wp:extent cx="8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-116205</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-116205</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-116205</wp:posOffset>
            </wp:positionV>
            <wp:extent cx="8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-116205</wp:posOffset>
            </wp:positionV>
            <wp:extent cx="8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-116205</wp:posOffset>
            </wp:positionV>
            <wp:extent cx="8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-116205</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-116205</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-116205</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-116205</wp:posOffset>
            </wp:positionV>
            <wp:extent cx="8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-116205</wp:posOffset>
            </wp:positionV>
            <wp:extent cx="8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-116205</wp:posOffset>
            </wp:positionV>
            <wp:extent cx="8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-116205</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-116205</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-116205</wp:posOffset>
            </wp:positionV>
            <wp:extent cx="8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-116205</wp:posOffset>
            </wp:positionV>
            <wp:extent cx="8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-116205</wp:posOffset>
            </wp:positionV>
            <wp:extent cx="8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-116205</wp:posOffset>
            </wp:positionV>
            <wp:extent cx="8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-116205</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-116205</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-116205</wp:posOffset>
            </wp:positionV>
            <wp:extent cx="8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-116205</wp:posOffset>
            </wp:positionV>
            <wp:extent cx="8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-116205</wp:posOffset>
            </wp:positionV>
            <wp:extent cx="8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-116205</wp:posOffset>
            </wp:positionV>
            <wp:extent cx="8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-116205</wp:posOffset>
            </wp:positionV>
            <wp:extent cx="8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-116205</wp:posOffset>
            </wp:positionV>
            <wp:extent cx="8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-116205</wp:posOffset>
            </wp:positionV>
            <wp:extent cx="8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-116205</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-116205</wp:posOffset>
            </wp:positionV>
            <wp:extent cx="8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-116205</wp:posOffset>
            </wp:positionV>
            <wp:extent cx="8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-116205</wp:posOffset>
            </wp:positionV>
            <wp:extent cx="8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-116205</wp:posOffset>
            </wp:positionV>
            <wp:extent cx="8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-116205</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-116205</wp:posOffset>
            </wp:positionV>
            <wp:extent cx="8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-116205</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-116205</wp:posOffset>
            </wp:positionV>
            <wp:extent cx="8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-116205</wp:posOffset>
            </wp:positionV>
            <wp:extent cx="8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-116205</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-116205</wp:posOffset>
            </wp:positionV>
            <wp:extent cx="8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-116205</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-116205</wp:posOffset>
            </wp:positionV>
            <wp:extent cx="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-116205</wp:posOffset>
            </wp:positionV>
            <wp:extent cx="8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-116205</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-116205</wp:posOffset>
            </wp:positionV>
            <wp:extent cx="8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-116205</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-116205</wp:posOffset>
            </wp:positionV>
            <wp:extent cx="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-116205</wp:posOffset>
            </wp:positionV>
            <wp:extent cx="8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-116205</wp:posOffset>
            </wp:positionV>
            <wp:extent cx="8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-116205</wp:posOffset>
            </wp:positionV>
            <wp:extent cx="8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-116205</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-116205</wp:posOffset>
            </wp:positionV>
            <wp:extent cx="8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-116205</wp:posOffset>
            </wp:positionV>
            <wp:extent cx="8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-116205</wp:posOffset>
            </wp:positionV>
            <wp:extent cx="8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-116205</wp:posOffset>
            </wp:positionV>
            <wp:extent cx="8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-116205</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-116205</wp:posOffset>
            </wp:positionV>
            <wp:extent cx="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-116205</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-116205</wp:posOffset>
            </wp:positionV>
            <wp:extent cx="8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-116205</wp:posOffset>
            </wp:positionV>
            <wp:extent cx="8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-116205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-116205</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-116205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-116205</wp:posOffset>
            </wp:positionV>
            <wp:extent cx="8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-116205</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-116205</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440" w:right="80"/>
        <w:spacing w:after="0" w:line="239" w:lineRule="auto"/>
        <w:rPr>
          <w:sz w:val="20"/>
          <w:szCs w:val="20"/>
          <w:color w:val="auto"/>
        </w:rPr>
      </w:pPr>
      <w:r>
        <w:rPr>
          <w:rFonts w:ascii="Arial" w:cs="Arial" w:eastAsia="Arial" w:hAnsi="Arial"/>
          <w:sz w:val="13"/>
          <w:szCs w:val="13"/>
          <w:color w:val="auto"/>
        </w:rPr>
        <w:t>professional fees associated with the DKI Acquisition</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Asset impairments and loss (gain) 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Twelve</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10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Months Ended</w:t>
            </w:r>
          </w:p>
        </w:tc>
        <w:tc>
          <w:tcPr>
            <w:tcW w:w="180" w:type="dxa"/>
            <w:vAlign w:val="bottom"/>
          </w:tcPr>
          <w:p>
            <w:pPr>
              <w:spacing w:after="0"/>
              <w:rPr>
                <w:sz w:val="12"/>
                <w:szCs w:val="12"/>
                <w:color w:val="auto"/>
              </w:rPr>
            </w:pPr>
          </w:p>
        </w:tc>
        <w:tc>
          <w:tcPr>
            <w:tcW w:w="162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w w:val="91"/>
              </w:rPr>
              <w:t>Three Months Ended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ind w:left="380"/>
              <w:spacing w:after="0"/>
              <w:rPr>
                <w:sz w:val="20"/>
                <w:szCs w:val="20"/>
                <w:color w:val="auto"/>
              </w:rPr>
            </w:pPr>
            <w:r>
              <w:rPr>
                <w:rFonts w:ascii="Arial" w:cs="Arial" w:eastAsia="Arial" w:hAnsi="Arial"/>
                <w:sz w:val="13"/>
                <w:szCs w:val="13"/>
                <w:b w:val="1"/>
                <w:bCs w:val="1"/>
                <w:color w:val="auto"/>
              </w:rPr>
              <w:t>Year 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10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April 30,</w:t>
            </w:r>
          </w:p>
        </w:tc>
        <w:tc>
          <w:tcPr>
            <w:tcW w:w="180" w:type="dxa"/>
            <w:vAlign w:val="bottom"/>
          </w:tcPr>
          <w:p>
            <w:pPr>
              <w:spacing w:after="0"/>
              <w:rPr>
                <w:sz w:val="15"/>
                <w:szCs w:val="15"/>
                <w:color w:val="auto"/>
              </w:rPr>
            </w:pPr>
          </w:p>
        </w:tc>
        <w:tc>
          <w:tcPr>
            <w:tcW w:w="1020" w:type="dxa"/>
            <w:vAlign w:val="bottom"/>
            <w:gridSpan w:val="3"/>
          </w:tcPr>
          <w:p>
            <w:pPr>
              <w:jc w:val="right"/>
              <w:ind w:right="97"/>
              <w:spacing w:after="0"/>
              <w:rPr>
                <w:sz w:val="20"/>
                <w:szCs w:val="20"/>
                <w:color w:val="auto"/>
              </w:rPr>
            </w:pPr>
            <w:r>
              <w:rPr>
                <w:rFonts w:ascii="Arial" w:cs="Arial" w:eastAsia="Arial" w:hAnsi="Arial"/>
                <w:sz w:val="13"/>
                <w:szCs w:val="13"/>
                <w:b w:val="1"/>
                <w:bCs w:val="1"/>
                <w:color w:val="auto"/>
              </w:rPr>
              <w:t>April 30,</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ind w:left="360"/>
              <w:spacing w:after="0"/>
              <w:rPr>
                <w:sz w:val="20"/>
                <w:szCs w:val="20"/>
                <w:color w:val="auto"/>
              </w:rPr>
            </w:pPr>
            <w:r>
              <w:rPr>
                <w:rFonts w:ascii="Arial" w:cs="Arial" w:eastAsia="Arial" w:hAnsi="Arial"/>
                <w:sz w:val="13"/>
                <w:szCs w:val="13"/>
                <w:b w:val="1"/>
                <w:bCs w:val="1"/>
                <w:color w:val="auto"/>
              </w:rPr>
              <w:t>January 31,</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8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2"/>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2018</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82"/>
              </w:rPr>
              <w:t>2017</w:t>
            </w:r>
          </w:p>
        </w:tc>
        <w:tc>
          <w:tcPr>
            <w:tcW w:w="20" w:type="dxa"/>
            <w:vAlign w:val="bottom"/>
          </w:tcPr>
          <w:p>
            <w:pPr>
              <w:spacing w:after="0"/>
              <w:rPr>
                <w:sz w:val="14"/>
                <w:szCs w:val="14"/>
                <w:color w:val="auto"/>
              </w:rPr>
            </w:pPr>
          </w:p>
        </w:tc>
      </w:tr>
      <w:tr>
        <w:trPr>
          <w:trHeight w:val="158"/>
        </w:trPr>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(unaudited)</w:t>
            </w:r>
          </w:p>
        </w:tc>
        <w:tc>
          <w:tcPr>
            <w:tcW w:w="20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(unaudited)</w:t>
            </w:r>
          </w:p>
        </w:tc>
        <w:tc>
          <w:tcPr>
            <w:tcW w:w="2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(unaudited)</w:t>
            </w:r>
          </w:p>
        </w:tc>
        <w:tc>
          <w:tcPr>
            <w:tcW w:w="20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(unaudited)</w:t>
            </w:r>
          </w:p>
        </w:tc>
        <w:tc>
          <w:tcPr>
            <w:tcW w:w="22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(unaudited)</w:t>
            </w:r>
          </w:p>
        </w:tc>
        <w:tc>
          <w:tcPr>
            <w:tcW w:w="20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3"/>
                <w:szCs w:val="13"/>
                <w:b w:val="1"/>
                <w:bCs w:val="1"/>
                <w:color w:val="auto"/>
              </w:rPr>
              <w:t>(unaudited)</w:t>
            </w:r>
          </w:p>
        </w:tc>
        <w:tc>
          <w:tcPr>
            <w:tcW w:w="2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(unaudited)</w:t>
            </w:r>
          </w:p>
        </w:tc>
        <w:tc>
          <w:tcPr>
            <w:tcW w:w="20" w:type="dxa"/>
            <w:vAlign w:val="bottom"/>
          </w:tcPr>
          <w:p>
            <w:pPr>
              <w:spacing w:after="0"/>
              <w:rPr>
                <w:sz w:val="13"/>
                <w:szCs w:val="13"/>
                <w:color w:val="auto"/>
              </w:rPr>
            </w:pPr>
          </w:p>
        </w:tc>
      </w:tr>
      <w:tr>
        <w:trPr>
          <w:trHeight w:val="238"/>
        </w:trPr>
        <w:tc>
          <w:tcPr>
            <w:tcW w:w="4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92,499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(39,295)</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12,043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143,837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138,067</w:t>
            </w:r>
          </w:p>
        </w:tc>
        <w:tc>
          <w:tcPr>
            <w:tcW w:w="440" w:type="dxa"/>
            <w:vAlign w:val="bottom"/>
          </w:tcPr>
          <w:p>
            <w:pPr>
              <w:ind w:left="3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62,124</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51,938</w:t>
            </w:r>
          </w:p>
        </w:tc>
      </w:tr>
      <w:tr>
        <w:trPr>
          <w:trHeight w:val="446"/>
        </w:trPr>
        <w:tc>
          <w:tcPr>
            <w:tcW w:w="44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tcPr>
          <w:p>
            <w:pPr>
              <w:ind w:left="3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2,050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11,699</w:t>
            </w:r>
          </w:p>
        </w:tc>
      </w:tr>
    </w:tbl>
    <w:p>
      <w:pPr>
        <w:spacing w:after="0" w:line="339" w:lineRule="exact"/>
        <w:rPr>
          <w:sz w:val="20"/>
          <w:szCs w:val="20"/>
          <w:color w:val="auto"/>
        </w:rPr>
      </w:pPr>
    </w:p>
    <w:p>
      <w:pPr>
        <w:sectPr>
          <w:pgSz w:w="11900" w:h="16838" w:orient="portrait"/>
          <w:cols w:equalWidth="0" w:num="2">
            <w:col w:w="2180" w:space="280"/>
            <w:col w:w="6559"/>
          </w:cols>
          <w:pgMar w:left="1440" w:top="391" w:right="1440" w:bottom="1440" w:gutter="0" w:footer="0" w:header="0"/>
          <w:type w:val="continuous"/>
        </w:sectPr>
      </w:pPr>
    </w:p>
    <w:tbl>
      <w:tblPr>
        <w:tblLayout w:type="fixed"/>
        <w:tblInd w:w="320" w:type="dxa"/>
        <w:tblCellMar>
          <w:top w:w="0" w:type="dxa"/>
          <w:left w:w="0" w:type="dxa"/>
          <w:bottom w:w="0" w:type="dxa"/>
          <w:right w:w="0" w:type="dxa"/>
        </w:tblCellMar>
      </w:tblPr>
      <w:tr>
        <w:trPr>
          <w:trHeight w:val="174"/>
        </w:trPr>
        <w:tc>
          <w:tcPr>
            <w:tcW w:w="2140" w:type="dxa"/>
            <w:vAlign w:val="bottom"/>
          </w:tcPr>
          <w:p>
            <w:pPr>
              <w:ind w:left="120"/>
              <w:spacing w:after="0"/>
              <w:rPr>
                <w:sz w:val="20"/>
                <w:szCs w:val="20"/>
                <w:color w:val="auto"/>
              </w:rPr>
            </w:pPr>
            <w:r>
              <w:rPr>
                <w:rFonts w:ascii="Arial" w:cs="Arial" w:eastAsia="Arial" w:hAnsi="Arial"/>
                <w:sz w:val="13"/>
                <w:szCs w:val="13"/>
                <w:u w:val="single" w:color="auto"/>
                <w:color w:val="auto"/>
              </w:rPr>
              <w:t>l</w:t>
            </w:r>
            <w:r>
              <w:rPr>
                <w:rFonts w:ascii="Arial" w:cs="Arial" w:eastAsia="Arial" w:hAnsi="Arial"/>
                <w:sz w:val="13"/>
                <w:szCs w:val="13"/>
                <w:color w:val="auto"/>
              </w:rPr>
              <w:t>ease terminations</w:t>
            </w:r>
          </w:p>
        </w:tc>
        <w:tc>
          <w:tcPr>
            <w:tcW w:w="2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23,387</w:t>
            </w:r>
          </w:p>
        </w:tc>
        <w:tc>
          <w:tcPr>
            <w:tcW w:w="2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3,187</w:t>
            </w:r>
          </w:p>
        </w:tc>
        <w:tc>
          <w:tcPr>
            <w:tcW w:w="26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(829)</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19,371</w:t>
            </w:r>
          </w:p>
        </w:tc>
        <w:tc>
          <w:tcPr>
            <w:tcW w:w="2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2,813</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7,884</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10,480</w:t>
            </w:r>
          </w:p>
        </w:tc>
        <w:tc>
          <w:tcPr>
            <w:tcW w:w="0" w:type="dxa"/>
            <w:vAlign w:val="bottom"/>
          </w:tcPr>
          <w:p>
            <w:pPr>
              <w:spacing w:after="0"/>
              <w:rPr>
                <w:sz w:val="1"/>
                <w:szCs w:val="1"/>
                <w:color w:val="auto"/>
              </w:rPr>
            </w:pPr>
          </w:p>
        </w:tc>
      </w:tr>
      <w:tr>
        <w:trPr>
          <w:trHeight w:val="257"/>
        </w:trPr>
        <w:tc>
          <w:tcPr>
            <w:tcW w:w="214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39,129</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9,867</w:t>
            </w:r>
          </w:p>
        </w:tc>
        <w:tc>
          <w:tcPr>
            <w:tcW w:w="2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9,473</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38,735</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38,819</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37,783</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32,481</w:t>
            </w:r>
          </w:p>
        </w:tc>
        <w:tc>
          <w:tcPr>
            <w:tcW w:w="0" w:type="dxa"/>
            <w:vAlign w:val="bottom"/>
          </w:tcPr>
          <w:p>
            <w:pPr>
              <w:spacing w:after="0"/>
              <w:rPr>
                <w:sz w:val="1"/>
                <w:szCs w:val="1"/>
                <w:color w:val="auto"/>
              </w:rPr>
            </w:pPr>
          </w:p>
        </w:tc>
      </w:tr>
      <w:tr>
        <w:trPr>
          <w:trHeight w:val="243"/>
        </w:trPr>
        <w:tc>
          <w:tcPr>
            <w:tcW w:w="2140" w:type="dxa"/>
            <w:vAlign w:val="bottom"/>
          </w:tcPr>
          <w:p>
            <w:pPr>
              <w:ind w:left="120"/>
              <w:spacing w:after="0"/>
              <w:rPr>
                <w:sz w:val="20"/>
                <w:szCs w:val="20"/>
                <w:color w:val="auto"/>
              </w:rPr>
            </w:pPr>
            <w:r>
              <w:rPr>
                <w:rFonts w:ascii="Arial" w:cs="Arial" w:eastAsia="Arial" w:hAnsi="Arial"/>
                <w:sz w:val="13"/>
                <w:szCs w:val="13"/>
                <w:color w:val="auto"/>
              </w:rPr>
              <w:t>Interest and financing charges,</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40" w:type="dxa"/>
            <w:vAlign w:val="bottom"/>
          </w:tcPr>
          <w:p>
            <w:pPr>
              <w:ind w:left="260"/>
              <w:spacing w:after="0"/>
              <w:rPr>
                <w:sz w:val="20"/>
                <w:szCs w:val="20"/>
                <w:color w:val="auto"/>
              </w:rPr>
            </w:pPr>
            <w:r>
              <w:rPr>
                <w:rFonts w:ascii="Arial" w:cs="Arial" w:eastAsia="Arial" w:hAnsi="Arial"/>
                <w:sz w:val="13"/>
                <w:szCs w:val="13"/>
                <w:color w:val="auto"/>
              </w:rPr>
              <w:t>net</w:t>
            </w:r>
          </w:p>
        </w:tc>
        <w:tc>
          <w:tcPr>
            <w:tcW w:w="28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44,466</w:t>
            </w: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10,379</w:t>
            </w:r>
          </w:p>
        </w:tc>
        <w:tc>
          <w:tcPr>
            <w:tcW w:w="26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10,320</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44,407</w:t>
            </w: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43,924</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43,488</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15,675</w:t>
            </w:r>
          </w:p>
        </w:tc>
        <w:tc>
          <w:tcPr>
            <w:tcW w:w="0" w:type="dxa"/>
            <w:vAlign w:val="bottom"/>
          </w:tcPr>
          <w:p>
            <w:pPr>
              <w:spacing w:after="0"/>
              <w:rPr>
                <w:sz w:val="1"/>
                <w:szCs w:val="1"/>
                <w:color w:val="auto"/>
              </w:rPr>
            </w:pPr>
          </w:p>
        </w:tc>
      </w:tr>
      <w:tr>
        <w:trPr>
          <w:trHeight w:val="243"/>
        </w:trPr>
        <w:tc>
          <w:tcPr>
            <w:tcW w:w="2140" w:type="dxa"/>
            <w:vAlign w:val="bottom"/>
          </w:tcPr>
          <w:p>
            <w:pPr>
              <w:ind w:left="120"/>
              <w:spacing w:after="0"/>
              <w:rPr>
                <w:sz w:val="20"/>
                <w:szCs w:val="20"/>
                <w:color w:val="auto"/>
              </w:rPr>
            </w:pPr>
            <w:r>
              <w:rPr>
                <w:rFonts w:ascii="Arial" w:cs="Arial" w:eastAsia="Arial" w:hAnsi="Arial"/>
                <w:sz w:val="13"/>
                <w:szCs w:val="13"/>
                <w:color w:val="auto"/>
              </w:rPr>
              <w:t>Income tax (benefit) expense</w:t>
            </w:r>
          </w:p>
        </w:tc>
        <w:tc>
          <w:tcPr>
            <w:tcW w:w="2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19,298</w:t>
            </w:r>
          </w:p>
        </w:tc>
        <w:tc>
          <w:tcPr>
            <w:tcW w:w="2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w w:val="99"/>
              </w:rPr>
              <w:t>(16,413)</w:t>
            </w:r>
          </w:p>
        </w:tc>
        <w:tc>
          <w:tcPr>
            <w:tcW w:w="2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2,550</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38,261</w:t>
            </w:r>
          </w:p>
        </w:tc>
        <w:tc>
          <w:tcPr>
            <w:tcW w:w="2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45,763</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47,925</w:t>
            </w: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25,824</w:t>
            </w: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r>
              <w:rPr>
                <w:rFonts w:ascii="Arial" w:cs="Arial" w:eastAsia="Arial" w:hAnsi="Arial"/>
                <w:sz w:val="13"/>
                <w:szCs w:val="13"/>
                <w:color w:val="auto"/>
              </w:rPr>
              <w:t>Consolidated Adjusted EBITDA (as</w:t>
            </w:r>
          </w:p>
        </w:tc>
        <w:tc>
          <w:tcPr>
            <w:tcW w:w="2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140" w:type="dxa"/>
            <w:vAlign w:val="bottom"/>
          </w:tcPr>
          <w:p>
            <w:pPr>
              <w:ind w:left="120"/>
              <w:spacing w:after="0"/>
              <w:rPr>
                <w:sz w:val="20"/>
                <w:szCs w:val="20"/>
                <w:color w:val="auto"/>
              </w:rPr>
            </w:pPr>
            <w:r>
              <w:rPr>
                <w:rFonts w:ascii="Arial" w:cs="Arial" w:eastAsia="Arial" w:hAnsi="Arial"/>
                <w:sz w:val="13"/>
                <w:szCs w:val="13"/>
                <w:u w:val="single" w:color="auto"/>
                <w:color w:val="auto"/>
              </w:rPr>
              <w:t>r</w:t>
            </w:r>
            <w:r>
              <w:rPr>
                <w:rFonts w:ascii="Arial" w:cs="Arial" w:eastAsia="Arial" w:hAnsi="Arial"/>
                <w:sz w:val="13"/>
                <w:szCs w:val="13"/>
                <w:color w:val="auto"/>
              </w:rPr>
              <w:t>eported)</w:t>
            </w:r>
          </w:p>
        </w:tc>
        <w:tc>
          <w:tcPr>
            <w:tcW w:w="28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218,779</w:t>
            </w: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w w:val="99"/>
              </w:rPr>
              <w:t>(32,275)</w:t>
            </w:r>
          </w:p>
        </w:tc>
        <w:tc>
          <w:tcPr>
            <w:tcW w:w="26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33,557</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284,611</w:t>
            </w: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269,386</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201,254</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148,097</w:t>
            </w:r>
          </w:p>
        </w:tc>
        <w:tc>
          <w:tcPr>
            <w:tcW w:w="0" w:type="dxa"/>
            <w:vAlign w:val="bottom"/>
          </w:tcPr>
          <w:p>
            <w:pPr>
              <w:spacing w:after="0"/>
              <w:rPr>
                <w:sz w:val="1"/>
                <w:szCs w:val="1"/>
                <w:color w:val="auto"/>
              </w:rPr>
            </w:pPr>
          </w:p>
        </w:tc>
      </w:tr>
      <w:tr>
        <w:trPr>
          <w:trHeight w:val="243"/>
        </w:trPr>
        <w:tc>
          <w:tcPr>
            <w:tcW w:w="2140" w:type="dxa"/>
            <w:vAlign w:val="bottom"/>
          </w:tcPr>
          <w:p>
            <w:pPr>
              <w:ind w:left="120"/>
              <w:spacing w:after="0"/>
              <w:rPr>
                <w:sz w:val="20"/>
                <w:szCs w:val="20"/>
                <w:color w:val="auto"/>
              </w:rPr>
            </w:pPr>
            <w:r>
              <w:rPr>
                <w:rFonts w:ascii="Arial" w:cs="Arial" w:eastAsia="Arial" w:hAnsi="Arial"/>
                <w:sz w:val="13"/>
                <w:szCs w:val="13"/>
                <w:color w:val="auto"/>
                <w:w w:val="94"/>
              </w:rPr>
              <w:t>Share-based compensation expense</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40" w:type="dxa"/>
            <w:vAlign w:val="bottom"/>
          </w:tcPr>
          <w:p>
            <w:pPr>
              <w:ind w:left="26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reversal)</w:t>
            </w:r>
          </w:p>
        </w:tc>
        <w:tc>
          <w:tcPr>
            <w:tcW w:w="28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12,521</w:t>
            </w: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(811)</w:t>
            </w:r>
          </w:p>
        </w:tc>
        <w:tc>
          <w:tcPr>
            <w:tcW w:w="26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4,227</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17,559</w:t>
            </w: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19,694</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19,665</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16,901</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13"/>
                <w:szCs w:val="13"/>
                <w:color w:val="auto"/>
              </w:rPr>
              <w:t>Equity loss (gain) of unconsolidated</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0"/>
                <w:szCs w:val="20"/>
                <w:color w:val="auto"/>
              </w:rPr>
            </w:pPr>
            <w:r>
              <w:rPr>
                <w:rFonts w:ascii="Arial" w:cs="Arial" w:eastAsia="Arial" w:hAnsi="Arial"/>
                <w:sz w:val="13"/>
                <w:szCs w:val="13"/>
                <w:color w:val="auto"/>
              </w:rPr>
              <w:t>businesses</w:t>
            </w:r>
          </w:p>
        </w:tc>
        <w:tc>
          <w:tcPr>
            <w:tcW w:w="28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176</w:t>
            </w: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580</w:t>
            </w:r>
          </w:p>
        </w:tc>
        <w:tc>
          <w:tcPr>
            <w:tcW w:w="26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63</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(341)</w:t>
            </w:r>
          </w:p>
        </w:tc>
        <w:tc>
          <w:tcPr>
            <w:tcW w:w="2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1,543</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454</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29"/>
        </w:trPr>
        <w:tc>
          <w:tcPr>
            <w:tcW w:w="2140" w:type="dxa"/>
            <w:vAlign w:val="bottom"/>
          </w:tcPr>
          <w:p>
            <w:pPr>
              <w:ind w:left="120"/>
              <w:spacing w:after="0"/>
              <w:rPr>
                <w:sz w:val="20"/>
                <w:szCs w:val="20"/>
                <w:color w:val="auto"/>
              </w:rPr>
            </w:pPr>
            <w:r>
              <w:rPr>
                <w:rFonts w:ascii="Arial" w:cs="Arial" w:eastAsia="Arial" w:hAnsi="Arial"/>
                <w:sz w:val="13"/>
                <w:szCs w:val="13"/>
                <w:color w:val="auto"/>
              </w:rPr>
              <w:t>Wilsons and Bass Retail operating</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140" w:type="dxa"/>
            <w:vAlign w:val="bottom"/>
          </w:tcPr>
          <w:p>
            <w:pPr>
              <w:ind w:left="260"/>
              <w:spacing w:after="0"/>
              <w:rPr>
                <w:sz w:val="20"/>
                <w:szCs w:val="20"/>
                <w:color w:val="auto"/>
              </w:rPr>
            </w:pPr>
            <w:r>
              <w:rPr>
                <w:rFonts w:ascii="Arial" w:cs="Arial" w:eastAsia="Arial" w:hAnsi="Arial"/>
                <w:sz w:val="13"/>
                <w:szCs w:val="13"/>
                <w:u w:val="single" w:color="auto"/>
                <w:color w:val="auto"/>
              </w:rPr>
              <w:t>l</w:t>
            </w:r>
            <w:r>
              <w:rPr>
                <w:rFonts w:ascii="Arial" w:cs="Arial" w:eastAsia="Arial" w:hAnsi="Arial"/>
                <w:sz w:val="13"/>
                <w:szCs w:val="13"/>
                <w:color w:val="auto"/>
              </w:rPr>
              <w:t>osses</w:t>
            </w:r>
            <w:r>
              <w:rPr>
                <w:rFonts w:ascii="Arial" w:cs="Arial" w:eastAsia="Arial" w:hAnsi="Arial"/>
                <w:sz w:val="18"/>
                <w:szCs w:val="18"/>
                <w:color w:val="auto"/>
                <w:vertAlign w:val="superscript"/>
              </w:rPr>
              <w:t>(a)</w:t>
            </w:r>
          </w:p>
        </w:tc>
        <w:tc>
          <w:tcPr>
            <w:tcW w:w="28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48,888</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22,998</w:t>
            </w:r>
          </w:p>
        </w:tc>
        <w:tc>
          <w:tcPr>
            <w:tcW w:w="2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14,600</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2140" w:type="dxa"/>
            <w:vAlign w:val="bottom"/>
          </w:tcPr>
          <w:p>
            <w:pPr>
              <w:ind w:left="120"/>
              <w:spacing w:after="0"/>
              <w:rPr>
                <w:sz w:val="20"/>
                <w:szCs w:val="20"/>
                <w:color w:val="auto"/>
              </w:rPr>
            </w:pPr>
            <w:r>
              <w:rPr>
                <w:rFonts w:ascii="Arial" w:cs="Arial" w:eastAsia="Arial" w:hAnsi="Arial"/>
                <w:sz w:val="13"/>
                <w:szCs w:val="13"/>
                <w:color w:val="auto"/>
              </w:rPr>
              <w:t>Q1 Bad Debt Reserves above</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40" w:type="dxa"/>
            <w:vAlign w:val="bottom"/>
          </w:tcPr>
          <w:p>
            <w:pPr>
              <w:ind w:left="260"/>
              <w:spacing w:after="0"/>
              <w:rPr>
                <w:sz w:val="20"/>
                <w:szCs w:val="20"/>
                <w:color w:val="auto"/>
              </w:rPr>
            </w:pPr>
            <w:r>
              <w:rPr>
                <w:rFonts w:ascii="Arial" w:cs="Arial" w:eastAsia="Arial" w:hAnsi="Arial"/>
                <w:sz w:val="13"/>
                <w:szCs w:val="13"/>
                <w:color w:val="auto"/>
              </w:rPr>
              <w:t>normalized historical levels</w:t>
            </w:r>
            <w:r>
              <w:rPr>
                <w:rFonts w:ascii="Arial" w:cs="Arial" w:eastAsia="Arial" w:hAnsi="Arial"/>
                <w:sz w:val="18"/>
                <w:szCs w:val="18"/>
                <w:color w:val="auto"/>
                <w:vertAlign w:val="superscript"/>
              </w:rPr>
              <w:t>(b)</w:t>
            </w:r>
          </w:p>
        </w:tc>
        <w:tc>
          <w:tcPr>
            <w:tcW w:w="28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9,767</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9,767</w:t>
            </w:r>
          </w:p>
        </w:tc>
        <w:tc>
          <w:tcPr>
            <w:tcW w:w="2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2140" w:type="dxa"/>
            <w:vAlign w:val="bottom"/>
          </w:tcPr>
          <w:p>
            <w:pPr>
              <w:ind w:left="120"/>
              <w:spacing w:after="0"/>
              <w:rPr>
                <w:sz w:val="20"/>
                <w:szCs w:val="20"/>
                <w:color w:val="auto"/>
              </w:rPr>
            </w:pPr>
            <w:r>
              <w:rPr>
                <w:rFonts w:ascii="Arial" w:cs="Arial" w:eastAsia="Arial" w:hAnsi="Arial"/>
                <w:sz w:val="13"/>
                <w:szCs w:val="13"/>
                <w:color w:val="auto"/>
              </w:rPr>
              <w:t>Q1 Inventory reserves above</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40" w:type="dxa"/>
            <w:vAlign w:val="bottom"/>
          </w:tcPr>
          <w:p>
            <w:pPr>
              <w:ind w:left="260"/>
              <w:spacing w:after="0"/>
              <w:rPr>
                <w:sz w:val="20"/>
                <w:szCs w:val="20"/>
                <w:color w:val="auto"/>
              </w:rPr>
            </w:pPr>
            <w:r>
              <w:rPr>
                <w:rFonts w:ascii="Arial" w:cs="Arial" w:eastAsia="Arial" w:hAnsi="Arial"/>
                <w:sz w:val="13"/>
                <w:szCs w:val="13"/>
                <w:color w:val="auto"/>
              </w:rPr>
              <w:t>normalized historical levels</w:t>
            </w:r>
            <w:r>
              <w:rPr>
                <w:rFonts w:ascii="Arial" w:cs="Arial" w:eastAsia="Arial" w:hAnsi="Arial"/>
                <w:sz w:val="18"/>
                <w:szCs w:val="18"/>
                <w:color w:val="auto"/>
                <w:vertAlign w:val="superscript"/>
              </w:rPr>
              <w:t>(c)</w:t>
            </w:r>
          </w:p>
        </w:tc>
        <w:tc>
          <w:tcPr>
            <w:tcW w:w="28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10,875</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10,875</w:t>
            </w:r>
          </w:p>
        </w:tc>
        <w:tc>
          <w:tcPr>
            <w:tcW w:w="2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2140" w:type="dxa"/>
            <w:vAlign w:val="bottom"/>
          </w:tcPr>
          <w:p>
            <w:pPr>
              <w:ind w:left="120"/>
              <w:spacing w:after="0"/>
              <w:rPr>
                <w:sz w:val="20"/>
                <w:szCs w:val="20"/>
                <w:color w:val="auto"/>
              </w:rPr>
            </w:pPr>
            <w:r>
              <w:rPr>
                <w:rFonts w:ascii="Arial" w:cs="Arial" w:eastAsia="Arial" w:hAnsi="Arial"/>
                <w:sz w:val="13"/>
                <w:szCs w:val="13"/>
                <w:color w:val="auto"/>
              </w:rPr>
              <w:t>Excess royalty expense relief</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140" w:type="dxa"/>
            <w:vAlign w:val="bottom"/>
          </w:tcPr>
          <w:p>
            <w:pPr>
              <w:ind w:left="260"/>
              <w:spacing w:after="0"/>
              <w:rPr>
                <w:sz w:val="20"/>
                <w:szCs w:val="20"/>
                <w:color w:val="auto"/>
              </w:rPr>
            </w:pPr>
            <w:r>
              <w:rPr>
                <w:rFonts w:ascii="Arial" w:cs="Arial" w:eastAsia="Arial" w:hAnsi="Arial"/>
                <w:sz w:val="13"/>
                <w:szCs w:val="13"/>
                <w:color w:val="auto"/>
              </w:rPr>
              <w:t xml:space="preserve">obtained </w:t>
            </w:r>
            <w:r>
              <w:rPr>
                <w:rFonts w:ascii="Arial" w:cs="Arial" w:eastAsia="Arial" w:hAnsi="Arial"/>
                <w:sz w:val="18"/>
                <w:szCs w:val="18"/>
                <w:color w:val="auto"/>
                <w:vertAlign w:val="superscript"/>
              </w:rPr>
              <w:t>(d)</w:t>
            </w:r>
          </w:p>
        </w:tc>
        <w:tc>
          <w:tcPr>
            <w:tcW w:w="28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8,329</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8,329</w:t>
            </w:r>
          </w:p>
        </w:tc>
        <w:tc>
          <w:tcPr>
            <w:tcW w:w="2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2140" w:type="dxa"/>
            <w:vAlign w:val="bottom"/>
          </w:tcPr>
          <w:p>
            <w:pPr>
              <w:ind w:left="120"/>
              <w:spacing w:after="0"/>
              <w:rPr>
                <w:sz w:val="20"/>
                <w:szCs w:val="20"/>
                <w:color w:val="auto"/>
              </w:rPr>
            </w:pPr>
            <w:r>
              <w:rPr>
                <w:rFonts w:ascii="Arial" w:cs="Arial" w:eastAsia="Arial" w:hAnsi="Arial"/>
                <w:sz w:val="13"/>
                <w:szCs w:val="13"/>
                <w:color w:val="auto"/>
              </w:rPr>
              <w:t>Accrued health benefits for</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40" w:type="dxa"/>
            <w:vAlign w:val="bottom"/>
          </w:tcPr>
          <w:p>
            <w:pPr>
              <w:ind w:left="260"/>
              <w:spacing w:after="0"/>
              <w:rPr>
                <w:sz w:val="20"/>
                <w:szCs w:val="20"/>
                <w:color w:val="auto"/>
              </w:rPr>
            </w:pPr>
            <w:r>
              <w:rPr>
                <w:rFonts w:ascii="Arial" w:cs="Arial" w:eastAsia="Arial" w:hAnsi="Arial"/>
                <w:sz w:val="13"/>
                <w:szCs w:val="13"/>
                <w:u w:val="single" w:color="auto"/>
                <w:color w:val="auto"/>
              </w:rPr>
              <w:t>f</w:t>
            </w:r>
            <w:r>
              <w:rPr>
                <w:rFonts w:ascii="Arial" w:cs="Arial" w:eastAsia="Arial" w:hAnsi="Arial"/>
                <w:sz w:val="13"/>
                <w:szCs w:val="13"/>
                <w:color w:val="auto"/>
              </w:rPr>
              <w:t>urloughed employees</w:t>
            </w:r>
            <w:r>
              <w:rPr>
                <w:rFonts w:ascii="Arial" w:cs="Arial" w:eastAsia="Arial" w:hAnsi="Arial"/>
                <w:sz w:val="18"/>
                <w:szCs w:val="18"/>
                <w:color w:val="auto"/>
                <w:vertAlign w:val="superscript"/>
              </w:rPr>
              <w:t>(e)</w:t>
            </w:r>
          </w:p>
        </w:tc>
        <w:tc>
          <w:tcPr>
            <w:tcW w:w="28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2,217</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2,217</w:t>
            </w:r>
          </w:p>
        </w:tc>
        <w:tc>
          <w:tcPr>
            <w:tcW w:w="2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2140" w:type="dxa"/>
            <w:vAlign w:val="bottom"/>
          </w:tcPr>
          <w:p>
            <w:pPr>
              <w:ind w:left="120"/>
              <w:spacing w:after="0"/>
              <w:rPr>
                <w:sz w:val="20"/>
                <w:szCs w:val="20"/>
                <w:color w:val="auto"/>
              </w:rPr>
            </w:pPr>
            <w:r>
              <w:rPr>
                <w:rFonts w:ascii="Arial" w:cs="Arial" w:eastAsia="Arial" w:hAnsi="Arial"/>
                <w:sz w:val="13"/>
                <w:szCs w:val="13"/>
                <w:color w:val="auto"/>
              </w:rPr>
              <w:t>Run-rate cost savings from</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40" w:type="dxa"/>
            <w:vAlign w:val="bottom"/>
          </w:tcPr>
          <w:p>
            <w:pPr>
              <w:ind w:left="260"/>
              <w:spacing w:after="0"/>
              <w:rPr>
                <w:sz w:val="20"/>
                <w:szCs w:val="20"/>
                <w:color w:val="auto"/>
              </w:rPr>
            </w:pPr>
            <w:r>
              <w:rPr>
                <w:rFonts w:ascii="Arial" w:cs="Arial" w:eastAsia="Arial" w:hAnsi="Arial"/>
                <w:sz w:val="13"/>
                <w:szCs w:val="13"/>
                <w:color w:val="auto"/>
              </w:rPr>
              <w:t>furloughed employees who will</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40" w:type="dxa"/>
            <w:vAlign w:val="bottom"/>
          </w:tcPr>
          <w:p>
            <w:pPr>
              <w:ind w:left="260"/>
              <w:spacing w:after="0"/>
              <w:rPr>
                <w:sz w:val="20"/>
                <w:szCs w:val="20"/>
                <w:color w:val="auto"/>
              </w:rPr>
            </w:pPr>
            <w:r>
              <w:rPr>
                <w:rFonts w:ascii="Arial" w:cs="Arial" w:eastAsia="Arial" w:hAnsi="Arial"/>
                <w:sz w:val="13"/>
                <w:szCs w:val="13"/>
                <w:color w:val="auto"/>
              </w:rPr>
              <w:t>be permanently eliminated</w:t>
            </w:r>
          </w:p>
        </w:tc>
        <w:tc>
          <w:tcPr>
            <w:tcW w:w="2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17,955</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140" w:type="dxa"/>
            <w:vAlign w:val="bottom"/>
            <w:vMerge w:val="restart"/>
          </w:tcPr>
          <w:p>
            <w:pPr>
              <w:ind w:left="1660"/>
              <w:spacing w:after="0" w:line="97" w:lineRule="exact"/>
              <w:rPr>
                <w:sz w:val="20"/>
                <w:szCs w:val="20"/>
                <w:color w:val="auto"/>
              </w:rPr>
            </w:pPr>
            <w:r>
              <w:rPr>
                <w:rFonts w:ascii="Arial" w:cs="Arial" w:eastAsia="Arial" w:hAnsi="Arial"/>
                <w:sz w:val="9"/>
                <w:szCs w:val="9"/>
                <w:color w:val="auto"/>
              </w:rPr>
              <w:t>(f)</w:t>
            </w: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140" w:type="dxa"/>
            <w:vAlign w:val="bottom"/>
            <w:vMerge w:val="continue"/>
          </w:tcPr>
          <w:p>
            <w:pPr>
              <w:spacing w:after="0"/>
              <w:rPr>
                <w:sz w:val="6"/>
                <w:szCs w:val="6"/>
                <w:color w:val="auto"/>
              </w:rPr>
            </w:pPr>
          </w:p>
        </w:tc>
        <w:tc>
          <w:tcPr>
            <w:tcW w:w="28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329,507</w:t>
            </w:r>
          </w:p>
        </w:tc>
        <w:tc>
          <w:tcPr>
            <w:tcW w:w="200" w:type="dxa"/>
            <w:vAlign w:val="bottom"/>
            <w:vMerge w:val="restart"/>
          </w:tcPr>
          <w:p>
            <w:pPr>
              <w:spacing w:after="0"/>
              <w:rPr>
                <w:sz w:val="6"/>
                <w:szCs w:val="6"/>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21,680</w:t>
            </w:r>
          </w:p>
        </w:tc>
        <w:tc>
          <w:tcPr>
            <w:tcW w:w="2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52,447</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   301,829</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290,623</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  221,373</w:t>
            </w:r>
          </w:p>
        </w:tc>
        <w:tc>
          <w:tcPr>
            <w:tcW w:w="2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165,025</w:t>
            </w:r>
          </w:p>
        </w:tc>
        <w:tc>
          <w:tcPr>
            <w:tcW w:w="0" w:type="dxa"/>
            <w:vAlign w:val="bottom"/>
          </w:tcPr>
          <w:p>
            <w:pPr>
              <w:spacing w:after="0"/>
              <w:rPr>
                <w:sz w:val="1"/>
                <w:szCs w:val="1"/>
                <w:color w:val="auto"/>
              </w:rPr>
            </w:pPr>
          </w:p>
        </w:tc>
      </w:tr>
      <w:tr>
        <w:trPr>
          <w:trHeight w:val="121"/>
        </w:trPr>
        <w:tc>
          <w:tcPr>
            <w:tcW w:w="2140" w:type="dxa"/>
            <w:vAlign w:val="bottom"/>
          </w:tcPr>
          <w:p>
            <w:pPr>
              <w:spacing w:after="0" w:line="122" w:lineRule="exact"/>
              <w:rPr>
                <w:sz w:val="20"/>
                <w:szCs w:val="20"/>
                <w:color w:val="auto"/>
              </w:rPr>
            </w:pPr>
            <w:r>
              <w:rPr>
                <w:rFonts w:ascii="Arial" w:cs="Arial" w:eastAsia="Arial" w:hAnsi="Arial"/>
                <w:sz w:val="13"/>
                <w:szCs w:val="13"/>
                <w:color w:val="auto"/>
              </w:rPr>
              <w:t>Consolidated Adjusted EBITDA</w:t>
            </w:r>
          </w:p>
        </w:tc>
        <w:tc>
          <w:tcPr>
            <w:tcW w:w="2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-3839845</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-3839845</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-3839845</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-3839845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-3839845</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-3839845</wp:posOffset>
            </wp:positionV>
            <wp:extent cx="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-3839845</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-3839845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-3839845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-3839845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-3839845</wp:posOffset>
            </wp:positionV>
            <wp:extent cx="8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-3839845</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-3839845</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-3839845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-3839845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-3839845</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-3839845</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-3839845</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-3839845</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-3839845</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-3839845</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-3839845</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-3839845</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-3839845</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-3839845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-3839845</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-3839845</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-3839845</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-3839845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-3839845</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-3839845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-3839845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-3839845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-3839845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-3839845</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-3839845</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-3839845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-3839845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-3839845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-3839845</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-3839845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-3839845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-3839845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-3839845</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-3839845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-3839845</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-3839845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-3839845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-3839845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-3839845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-3839845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-3839845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-3839845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-3839845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-3839845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-3839845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-3839845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-3839845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-3839845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-3839845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-3839845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-3839845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-3839845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-3839845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-3839845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-3839845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-3676650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-3676650</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-3676650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-3676650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-3676650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-3676650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-3676650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-3676650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-3676650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-3676650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-3676650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-3676650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-3676650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-3676650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-3676650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-3676650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-3676650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-3676650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-3676650</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-3676650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-3676650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-3676650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-3676650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-3676650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-3676650</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-3676650</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-3676650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-3676650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-3676650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-3676650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-3676650</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-3676650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-3676650</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-3676650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-3676650</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-3676650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-3676650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-3676650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-3676650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-3676650</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-3676650</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-3676650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-3676650</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-3676650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-3676650</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-3676650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-3676650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-3676650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-3676650</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-3676650</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-3676650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-3676650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-3676650</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-3676650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-3676650</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-3676650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-3676650</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-3676650</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-3676650</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-3676650</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-3676650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-3676650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-3676650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-3676650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-3676650</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-3676650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-3350895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-3350895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-3350895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-3350895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-3350895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-3350895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-3350895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-3350895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-3350895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-3350895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-3350895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-3350895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-3350895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-3350895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-3350895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-3350895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-3350895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-3350895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-3350895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-3350895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-3350895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-3350895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-3350895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-3350895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-3350895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-3350895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-3350895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-3350895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-3350895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-3350895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-3350895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-3350895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-3350895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-3350895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-3350895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-3350895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-3350895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-3350895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-3350895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-3350895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-3350895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-3350895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-3350895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-3350895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-3350895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-3350895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-3350895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-3350895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-3350895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-3350895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-3350895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-3350895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-3350895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-3350895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-3350895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-3350895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-3350895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-3350895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-3350895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-3350895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-3350895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-3188335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-3188335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-3188335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-3188335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-3188335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-3188335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-3188335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-3188335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-3188335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-3188335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-3188335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-3188335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-3188335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-3188335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-3188335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-3188335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-3188335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-3188335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-3188335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-3188335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-3188335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-3188335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-3188335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-3188335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-3188335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-3188335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-3188335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-3188335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-3188335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-3188335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-3188335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-3188335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-3188335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-3188335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-3188335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-3188335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-3188335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-3188335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-3188335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-3188335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-3188335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-3188335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-3188335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-3188335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-3188335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-3188335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-3188335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-3188335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-3188335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-3188335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-3188335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-3188335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-3188335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-3188335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-3188335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-3188335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-3188335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-3188335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-3188335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-3188335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-3188335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-2862580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-2862580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-2862580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-2862580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-2862580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-2862580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-2862580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-2862580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-2862580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-2862580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-2862580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-2862580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-2862580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-2862580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-2862580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-2862580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-2862580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-2862580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-2862580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-2862580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-2862580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-2862580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-2862580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-2862580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-2862580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-2862580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-2862580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-2862580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-2862580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-2862580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-2862580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-2862580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-2862580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-2862580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-2862580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-2862580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-2862580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-2862580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-2862580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-2862580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-2862580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-2862580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-2862580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-2862580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-2862580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-2862580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-2862580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-2862580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-2862580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-2862580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-2862580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-2862580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-2862580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-2862580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-2862580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-2862580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-2862580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-2862580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-2862580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-2862580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-2862580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-2862580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-2862580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-2862580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-2862580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-2862580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-2536825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-2536825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-2536825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-2536825</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-2536825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-2536825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-2536825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-2536825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-2536825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-2536825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-2536825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-2536825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-2536825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-2536825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-2536825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-2536825</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-2536825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-2536825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-2536825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-2536825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-2536825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-2536825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-2536825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-2536825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-2536825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-2536825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-2536825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-2536825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-2536825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-2536825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-2536825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-2536825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-2536825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-2536825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-2536825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-2536825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-2536825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-2536825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-2536825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-2536825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-2536825</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-2536825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-2536825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-2536825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-2536825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-2536825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-2536825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-2536825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-2536825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-2536825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-2536825</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-2536825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-2536825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-2536825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-2536825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-2536825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-2536825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-2536825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-2536825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-2536825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-2536825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-2211070</wp:posOffset>
            </wp:positionV>
            <wp:extent cx="123444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-1902460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-1902460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-1902460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-1902460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-1902460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-1902460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-1902460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-1902460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-1902460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-1902460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-1902460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-1902460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-1902460</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-1902460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-1902460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-1902460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-1902460</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-1902460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-1902460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-1902460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-1902460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-1902460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-1902460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-1902460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-1902460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-1902460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-1902460</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-1902460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-1902460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-1902460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-1902460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-1902460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-1902460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-1902460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-1902460</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-1902460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-1902460</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-1902460</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-1902460</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-1902460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-1902460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-1902460</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-1902460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-1902460</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-1902460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-1902460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-1902460</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-1902460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-1902460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-1902460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-1902460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-1902460</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-1902460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-1902460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-1902460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-1902460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-1902460</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-1902460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-1902460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-1902460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-1902460</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-1593850</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-1593850</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-1593850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-1593850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-1593850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-1593850</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-1593850</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-1593850</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-1593850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-1593850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-1593850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-1593850</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-1593850</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-1593850</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-1593850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-1593850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-1593850</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-1593850</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-1593850</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-1593850</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-1593850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-1593850</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-1593850</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-1593850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-1593850</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-1593850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-1593850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-1593850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-1593850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-1593850</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-1593850</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-1593850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-1593850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-1593850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-1593850</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-1593850</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-1593850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-1593850</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-1593850</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-1593850</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-1593850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-1593850</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-1593850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-1593850</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-1593850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-1593850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-1593850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-1593850</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-1593850</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-1593850</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-1593850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-1593850</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-1593850</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-1593850</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-1593850</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-1593850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-1593850</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-1593850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-1593850</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-1593850</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-1593850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-1285240</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-1285240</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-1285240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-1285240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-1285240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-1285240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-1285240</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-1285240</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-1285240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-1285240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-1285240</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-1285240</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-1285240</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-1285240</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-1285240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-1285240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-1285240</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-1285240</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-1285240</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-1285240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-1285240</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-1285240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-1285240</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-1285240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-1285240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-1285240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-1285240</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-1285240</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-1285240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-1285240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-1285240</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-1285240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-1285240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-1285240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-1285240</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-1285240</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-1285240</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-1285240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-1285240</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-1285240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-1285240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-1285240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-1285240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-1285240</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-1285240</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-1285240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-1285240</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-1285240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-1285240</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-1285240</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-1285240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-1285240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-1285240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-1285240</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-1285240</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-1285240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-1285240</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-1285240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-1285240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-1285240</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-1285240</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-976630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-976630</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-976630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-976630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-976630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-976630</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-976630</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-976630</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-976630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-976630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-976630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-976630</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-976630</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-976630</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-976630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-976630</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-976630</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-976630</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-976630</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-976630</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-976630</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-976630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-976630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-976630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-976630</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-976630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-976630</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-976630</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-976630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-976630</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-976630</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-976630</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-976630</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-976630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-976630</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-976630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-976630</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-976630</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-976630</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-976630</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-976630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-976630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-976630</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-976630</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-976630</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-976630</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-976630</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-976630</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-976630</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-976630</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-976630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-976630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-976630</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-976630</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-976630</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-976630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-976630</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-976630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-976630</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-976630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-976630</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-668020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-668020</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-668020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-668020</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-668020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-668020</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-668020</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-668020</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-668020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-668020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-668020</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-668020</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-668020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-668020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-668020</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-668020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-668020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-668020</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-668020</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-668020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-668020</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-668020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-668020</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-668020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-668020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-668020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-668020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-668020</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-668020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-668020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-668020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-668020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-668020</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-668020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-668020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-668020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-668020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-668020</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-668020</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-668020</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-668020</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-668020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-668020</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-668020</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-668020</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-668020</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-668020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-668020</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-668020</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-668020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-668020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-668020</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-668020</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-668020</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-668020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-668020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-668020</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-668020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-668020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-668020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-668020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-179070</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-179070</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-179070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-179070</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-179070</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-179070</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-179070</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-179070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-179070</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-179070</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-179070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-179070</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-179070</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-179070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-179070</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-179070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-179070</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-179070</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-179070</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-179070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-179070</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-179070</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-179070</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-179070</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-179070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-179070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-179070</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-179070</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-179070</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-179070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-179070</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-179070</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-179070</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-179070</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-179070</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-179070</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-179070</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-179070</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-179070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-179070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-179070</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-179070</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-179070</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-179070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-179070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-179070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-179070</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-179070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-179070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-179070</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-179070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-179070</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-179070</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-179070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-179070</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-179070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-179070</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-179070</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-179070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-179070</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-179070</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-24765</wp:posOffset>
            </wp:positionV>
            <wp:extent cx="123444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jc w:val="both"/>
        <w:ind w:left="540" w:right="239" w:hanging="331"/>
        <w:spacing w:after="0" w:line="313" w:lineRule="auto"/>
        <w:tabs>
          <w:tab w:leader="none" w:pos="540" w:val="left"/>
        </w:tabs>
        <w:numPr>
          <w:ilvl w:val="0"/>
          <w:numId w:val="4"/>
        </w:numPr>
        <w:rPr>
          <w:rFonts w:ascii="Arial" w:cs="Arial" w:eastAsia="Arial" w:hAnsi="Arial"/>
          <w:sz w:val="10"/>
          <w:szCs w:val="10"/>
          <w:color w:val="auto"/>
        </w:rPr>
      </w:pPr>
      <w:r>
        <w:rPr>
          <w:rFonts w:ascii="Arial" w:cs="Arial" w:eastAsia="Arial" w:hAnsi="Arial"/>
          <w:sz w:val="10"/>
          <w:szCs w:val="10"/>
          <w:color w:val="auto"/>
        </w:rPr>
        <w:t>Represents operating losses at our Wilsons Leather and G.H. Bass stores for the fiscal year ended January 31, 2020 and the fiscal quarters ended April 30, 2020 and April 30, 2019, respectively. On June 5, 2020, we announced the restructuring of our retail operations segment, including the closing of all 110 Wilsons Leather, all 89 G.H. Bass stores and all 4 Calvin Klein Performance stores. See “Summary—Recent Developments—Restructuring of Our Retail Operations Segment.” We have not included this adjustment to any historical period shown above other than the twelve months ended April 30, 2020 and the fiscal quarters ended April 30, 2020 and April 30, 2019. In the fiscal year ended January 31, 2020, Wilsons and Bass Retail operating losses were $40.5 million, which was not included in the Consolidated Adjusted EBITDA (as reported) for the fiscal year ended January 31, 2020 and is not reflected in the fiscal 2020 column in the table above.</w:t>
      </w:r>
    </w:p>
    <w:p>
      <w:pPr>
        <w:spacing w:after="0" w:line="1" w:lineRule="exact"/>
        <w:rPr>
          <w:rFonts w:ascii="Arial" w:cs="Arial" w:eastAsia="Arial" w:hAnsi="Arial"/>
          <w:sz w:val="10"/>
          <w:szCs w:val="10"/>
          <w:color w:val="auto"/>
        </w:rPr>
      </w:pPr>
    </w:p>
    <w:p>
      <w:pPr>
        <w:ind w:left="540" w:right="239" w:hanging="331"/>
        <w:spacing w:after="0" w:line="238" w:lineRule="auto"/>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Relates to a reserve for doubtful accounts, which was primarily due to allowances recorded against the outstanding receivables of certain department store customers that have publicly announced bankruptcy filings or possible bankruptcy filings.</w:t>
      </w:r>
    </w:p>
    <w:p>
      <w:pPr>
        <w:ind w:left="540" w:hanging="331"/>
        <w:spacing w:after="0"/>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Consists of additional reserves above our normal operating levels of inventory.</w:t>
      </w:r>
    </w:p>
    <w:p>
      <w:pPr>
        <w:ind w:left="540" w:right="239" w:hanging="331"/>
        <w:spacing w:after="0" w:line="238" w:lineRule="auto"/>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a portion of minimum royalty payments that we are required to make under certain of our license agreements, some of which have been waived by certain of our license partners due to decreased sales.</w:t>
      </w:r>
    </w:p>
    <w:p>
      <w:pPr>
        <w:ind w:left="540" w:right="239" w:hanging="331"/>
        <w:spacing w:after="0" w:line="238" w:lineRule="auto"/>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healthcare deductions that we paid on behalf of furloughed employees, which would normally have been deducted from such furloughed employees’ paychecks if they had been employed and were being paid during the period.</w:t>
      </w:r>
    </w:p>
    <w:p>
      <w:pPr>
        <w:jc w:val="both"/>
        <w:ind w:left="540" w:right="219" w:hanging="331"/>
        <w:spacing w:after="0" w:line="238" w:lineRule="auto"/>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the three month period ended April 30, 2020, we also included one-time COVID-19 related items in the calculation of Consolidated Adjusted EBITDA, totaling $63.0 million, for purposes of calculating certain ratios under our credit agreements governing the Existing ABL Facility and Term Loan Facility, which included the following items: (i) a license agreement minimum royalty, (ii) salaries we paid for employees who were not furloughed, but who were not permitted to come to work (due to government orders related to COVID-19), (iii) facility expenses for facilities that were not used as a result of COVID-19 and (iv) run-rate cost savings related to the furlough of certain employees in such calculations. We have not included these additional items in the presentation of Consolidated Adjusted EBITDA presented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741045</wp:posOffset>
            </wp:positionV>
            <wp:extent cx="5452110" cy="254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type w:val="continuous"/>
        </w:sectPr>
      </w:pPr>
    </w:p>
    <w:bookmarkStart w:id="5" w:name="page6"/>
    <w:bookmarkEnd w:id="5"/>
    <w:p>
      <w:pPr>
        <w:ind w:left="200"/>
        <w:spacing w:after="0"/>
        <w:rPr>
          <w:sz w:val="20"/>
          <w:szCs w:val="20"/>
          <w:color w:val="auto"/>
        </w:rPr>
      </w:pPr>
      <w:r>
        <w:rPr>
          <w:rFonts w:ascii="Arial" w:cs="Arial" w:eastAsia="Arial" w:hAnsi="Arial"/>
          <w:sz w:val="16"/>
          <w:szCs w:val="16"/>
          <w:color w:val="auto"/>
        </w:rPr>
        <w:t>(3) The following is a reconciliation of Free Cash Flow to Consolidated Adjusted EBITDA:</w:t>
      </w:r>
    </w:p>
    <w:p>
      <w:pPr>
        <w:sectPr>
          <w:pgSz w:w="11900" w:h="16838" w:orient="portrait"/>
          <w:cols w:equalWidth="0" w:num="1">
            <w:col w:w="9019"/>
          </w:cols>
          <w:pgMar w:left="1440" w:top="9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0"/>
          <w:szCs w:val="10"/>
          <w:color w:val="auto"/>
        </w:rPr>
        <w:t>Consolidated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13335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13335</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13335</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13335</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13335</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13335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13335</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13335</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13335</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13335</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13335</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13335</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13335</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13335</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13335</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13335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13335</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13335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13335</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13335</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13335</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13335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13335</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13335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13335</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13335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13335</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13335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13335</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13335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13335</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13335</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13335</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13335</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13335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13335</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13335</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13335</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13335</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13335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13335</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13335</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13335</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13335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13335</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13335</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13335</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13335</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13335</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13335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13335</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13335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13335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13335</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13335</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13335</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13335</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13335</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-8255</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-8255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-8255</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-8255</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-8255</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-8255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-8255</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-8255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-8255</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-8255</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-8255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-8255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-8255</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-8255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-8255</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-8255</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-8255</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-8255</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-8255</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-8255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-8255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-8255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-8255</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-8255</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-8255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-8255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-8255</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-8255</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-8255</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-8255</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-8255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-8255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-8255</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-8255</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-8255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-8255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-8255</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-8255</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-8255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-8255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-8255</wp:posOffset>
            </wp:positionV>
            <wp:extent cx="825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-8255</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-8255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-8255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-8255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-8255</wp:posOffset>
            </wp:positionV>
            <wp:extent cx="825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-8255</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-8255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-8255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-8255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-8255</wp:posOffset>
            </wp:positionV>
            <wp:extent cx="825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-8255</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-8255</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Fr</w:t>
      </w:r>
      <w:r>
        <w:rPr>
          <w:rFonts w:ascii="Arial" w:cs="Arial" w:eastAsia="Arial" w:hAnsi="Arial"/>
          <w:sz w:val="13"/>
          <w:szCs w:val="13"/>
          <w:u w:val="single" w:color="auto"/>
          <w:color w:val="auto"/>
        </w:rPr>
        <w:t>e</w:t>
      </w:r>
      <w:r>
        <w:rPr>
          <w:rFonts w:ascii="Arial" w:cs="Arial" w:eastAsia="Arial" w:hAnsi="Arial"/>
          <w:sz w:val="13"/>
          <w:szCs w:val="13"/>
          <w:color w:val="auto"/>
        </w:rPr>
        <w:t>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-8255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-8255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-8255</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-8255</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-8255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-8255</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-8255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-8255</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-8255</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-8255</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-8255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-8255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-8255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-8255</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-8255</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-8255</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-8255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-8255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-8255</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-8255</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-8255</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-8255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-8255</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-8255</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-8255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-8255</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-8255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-8255</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-8255</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-8255</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-8255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-8255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-8255</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-8255</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-8255</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-8255</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-8255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-8255</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-8255</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-8255</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-8255</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-8255</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-8255</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-8255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-8255</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-8255</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-8255</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-8255</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-8255</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-8255</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-8255</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-8255</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-8255</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-8255</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-8255</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-8255</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-8255</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-8255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Twelve</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140" w:type="dxa"/>
            <w:vAlign w:val="bottom"/>
          </w:tcPr>
          <w:p>
            <w:pPr>
              <w:spacing w:after="0"/>
              <w:rPr>
                <w:sz w:val="12"/>
                <w:szCs w:val="12"/>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Months</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40" w:type="dxa"/>
            <w:vAlign w:val="bottom"/>
          </w:tcPr>
          <w:p>
            <w:pPr>
              <w:spacing w:after="0"/>
              <w:rPr>
                <w:sz w:val="12"/>
                <w:szCs w:val="12"/>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Ended</w:t>
            </w:r>
          </w:p>
        </w:tc>
        <w:tc>
          <w:tcPr>
            <w:tcW w:w="200" w:type="dxa"/>
            <w:vAlign w:val="bottom"/>
          </w:tcPr>
          <w:p>
            <w:pPr>
              <w:spacing w:after="0"/>
              <w:rPr>
                <w:sz w:val="12"/>
                <w:szCs w:val="12"/>
                <w:color w:val="auto"/>
              </w:rPr>
            </w:pPr>
          </w:p>
        </w:tc>
        <w:tc>
          <w:tcPr>
            <w:tcW w:w="170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88"/>
              </w:rPr>
              <w:t>Three Months Ended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87"/>
              </w:rPr>
              <w:t>Fiscal Year Ended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140" w:type="dxa"/>
            <w:vAlign w:val="bottom"/>
          </w:tcPr>
          <w:p>
            <w:pPr>
              <w:spacing w:after="0"/>
              <w:rPr>
                <w:sz w:val="15"/>
                <w:szCs w:val="15"/>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April 30,</w:t>
            </w:r>
          </w:p>
        </w:tc>
        <w:tc>
          <w:tcPr>
            <w:tcW w:w="200" w:type="dxa"/>
            <w:vAlign w:val="bottom"/>
          </w:tcPr>
          <w:p>
            <w:pPr>
              <w:spacing w:after="0"/>
              <w:rPr>
                <w:sz w:val="15"/>
                <w:szCs w:val="15"/>
                <w:color w:val="auto"/>
              </w:rPr>
            </w:pPr>
          </w:p>
        </w:tc>
        <w:tc>
          <w:tcPr>
            <w:tcW w:w="940" w:type="dxa"/>
            <w:vAlign w:val="bottom"/>
            <w:gridSpan w:val="3"/>
          </w:tcPr>
          <w:p>
            <w:pPr>
              <w:jc w:val="center"/>
              <w:ind w:left="297"/>
              <w:spacing w:after="0"/>
              <w:rPr>
                <w:sz w:val="20"/>
                <w:szCs w:val="20"/>
                <w:color w:val="auto"/>
              </w:rPr>
            </w:pPr>
            <w:r>
              <w:rPr>
                <w:rFonts w:ascii="Arial" w:cs="Arial" w:eastAsia="Arial" w:hAnsi="Arial"/>
                <w:sz w:val="13"/>
                <w:szCs w:val="13"/>
                <w:b w:val="1"/>
                <w:bCs w:val="1"/>
                <w:color w:val="auto"/>
                <w:w w:val="89"/>
              </w:rPr>
              <w:t>April 30,</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3"/>
          </w:tcPr>
          <w:p>
            <w:pPr>
              <w:jc w:val="center"/>
              <w:ind w:left="237"/>
              <w:spacing w:after="0"/>
              <w:rPr>
                <w:sz w:val="20"/>
                <w:szCs w:val="20"/>
                <w:color w:val="auto"/>
              </w:rPr>
            </w:pPr>
            <w:r>
              <w:rPr>
                <w:rFonts w:ascii="Arial" w:cs="Arial" w:eastAsia="Arial" w:hAnsi="Arial"/>
                <w:sz w:val="13"/>
                <w:szCs w:val="13"/>
                <w:b w:val="1"/>
                <w:bCs w:val="1"/>
                <w:color w:val="auto"/>
                <w:w w:val="89"/>
              </w:rPr>
              <w:t>January 31,</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6"/>
              </w:rPr>
              <w:t>2019</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6"/>
              </w:rPr>
              <w:t>2019</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89"/>
              </w:rPr>
              <w:t>2018</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6"/>
              </w:rPr>
              <w:t>2017</w:t>
            </w:r>
          </w:p>
        </w:tc>
        <w:tc>
          <w:tcPr>
            <w:tcW w:w="20" w:type="dxa"/>
            <w:vAlign w:val="bottom"/>
          </w:tcPr>
          <w:p>
            <w:pPr>
              <w:spacing w:after="0"/>
              <w:rPr>
                <w:sz w:val="14"/>
                <w:szCs w:val="14"/>
                <w:color w:val="auto"/>
              </w:rPr>
            </w:pPr>
          </w:p>
        </w:tc>
      </w:tr>
      <w:tr>
        <w:trPr>
          <w:trHeight w:val="158"/>
        </w:trPr>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(unaudited)</w:t>
            </w:r>
          </w:p>
        </w:tc>
        <w:tc>
          <w:tcPr>
            <w:tcW w:w="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w w:val="93"/>
              </w:rPr>
              <w:t>(unaudited)</w:t>
            </w:r>
          </w:p>
        </w:tc>
        <w:tc>
          <w:tcPr>
            <w:tcW w:w="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w w:val="93"/>
              </w:rPr>
              <w:t>(unaudited)</w:t>
            </w:r>
          </w:p>
        </w:tc>
        <w:tc>
          <w:tcPr>
            <w:tcW w:w="2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w w:val="93"/>
              </w:rPr>
              <w:t>(unaudited)</w:t>
            </w:r>
          </w:p>
        </w:tc>
        <w:tc>
          <w:tcPr>
            <w:tcW w:w="20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(unaudited)</w:t>
            </w:r>
          </w:p>
        </w:tc>
        <w:tc>
          <w:tcPr>
            <w:tcW w:w="20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(unaudited)</w:t>
            </w:r>
          </w:p>
        </w:tc>
        <w:tc>
          <w:tcPr>
            <w:tcW w:w="20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(unaudited)</w:t>
            </w:r>
          </w:p>
        </w:tc>
        <w:tc>
          <w:tcPr>
            <w:tcW w:w="20" w:type="dxa"/>
            <w:vAlign w:val="bottom"/>
          </w:tcPr>
          <w:p>
            <w:pPr>
              <w:spacing w:after="0"/>
              <w:rPr>
                <w:sz w:val="13"/>
                <w:szCs w:val="13"/>
                <w:color w:val="auto"/>
              </w:rPr>
            </w:pPr>
          </w:p>
        </w:tc>
      </w:tr>
      <w:tr>
        <w:trPr>
          <w:trHeight w:val="238"/>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329,507</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21,680</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52,447</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301,829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290,623</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221,373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165,025</w:t>
            </w:r>
          </w:p>
        </w:tc>
      </w:tr>
      <w:tr>
        <w:trPr>
          <w:trHeight w:val="257"/>
        </w:trPr>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31,090</w:t>
            </w:r>
          </w:p>
        </w:tc>
        <w:tc>
          <w:tcPr>
            <w:tcW w:w="2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6,391</w:t>
            </w:r>
          </w:p>
        </w:tc>
        <w:tc>
          <w:tcPr>
            <w:tcW w:w="2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13,291</w:t>
            </w:r>
          </w:p>
        </w:tc>
        <w:tc>
          <w:tcPr>
            <w:tcW w:w="2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37,990</w:t>
            </w:r>
          </w:p>
        </w:tc>
        <w:tc>
          <w:tcPr>
            <w:tcW w:w="2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29,205</w:t>
            </w:r>
          </w:p>
        </w:tc>
        <w:tc>
          <w:tcPr>
            <w:tcW w:w="2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34,507</w:t>
            </w:r>
          </w:p>
        </w:tc>
        <w:tc>
          <w:tcPr>
            <w:tcW w:w="2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24,928</w:t>
            </w:r>
          </w:p>
        </w:tc>
      </w:tr>
      <w:tr>
        <w:trPr>
          <w:trHeight w:val="256"/>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298,417</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15,289</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39,156</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263,839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261,418</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186,866</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140,097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-1287780</wp:posOffset>
            </wp:positionH>
            <wp:positionV relativeFrom="paragraph">
              <wp:posOffset>773430</wp:posOffset>
            </wp:positionV>
            <wp:extent cx="5452110" cy="171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2">
            <w:col w:w="1960" w:space="280"/>
            <w:col w:w="6779"/>
          </w:cols>
          <w:pgMar w:left="1440" w:top="922" w:right="1440" w:bottom="1440" w:gutter="0" w:footer="0" w:header="0"/>
          <w:type w:val="continuous"/>
        </w:sectPr>
      </w:pPr>
    </w:p>
    <w:bookmarkStart w:id="6" w:name="page7"/>
    <w:bookmarkEnd w:id="6"/>
    <w:p>
      <w:pPr>
        <w:ind w:left="920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6332855</wp:posOffset>
            </wp:positionV>
            <wp:extent cx="6755130" cy="2540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520700</wp:posOffset>
            </wp:positionV>
            <wp:extent cx="6463665" cy="498030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603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6755130" cy="260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6390005</wp:posOffset>
            </wp:positionV>
            <wp:extent cx="6755130" cy="2540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577850</wp:posOffset>
            </wp:positionV>
            <wp:extent cx="6463665" cy="498030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6390005</wp:posOffset>
            </wp:positionV>
            <wp:extent cx="6755130" cy="2540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577850</wp:posOffset>
            </wp:positionV>
            <wp:extent cx="6463665" cy="498030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6390005</wp:posOffset>
            </wp:positionV>
            <wp:extent cx="6755130" cy="2540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577850</wp:posOffset>
            </wp:positionV>
            <wp:extent cx="6463665" cy="498030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6390005</wp:posOffset>
            </wp:positionV>
            <wp:extent cx="6755130" cy="2540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577850</wp:posOffset>
            </wp:positionV>
            <wp:extent cx="6463665" cy="498030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6390005</wp:posOffset>
            </wp:positionV>
            <wp:extent cx="6755130" cy="2540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577850</wp:posOffset>
            </wp:positionV>
            <wp:extent cx="6463665" cy="498030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6390005</wp:posOffset>
            </wp:positionV>
            <wp:extent cx="6755130" cy="2540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577850</wp:posOffset>
            </wp:positionV>
            <wp:extent cx="6463665" cy="498030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6390005</wp:posOffset>
            </wp:positionV>
            <wp:extent cx="6755130" cy="2540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577850</wp:posOffset>
            </wp:positionV>
            <wp:extent cx="6463665" cy="498030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6390005</wp:posOffset>
            </wp:positionV>
            <wp:extent cx="6755130" cy="2603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6755130" cy="260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577850</wp:posOffset>
            </wp:positionV>
            <wp:extent cx="6463665" cy="498030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6390005</wp:posOffset>
            </wp:positionV>
            <wp:extent cx="6755130" cy="2603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6755130" cy="260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577850</wp:posOffset>
            </wp:positionV>
            <wp:extent cx="6463665" cy="498030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6390005</wp:posOffset>
            </wp:positionV>
            <wp:extent cx="6755130" cy="2603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6755130" cy="260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6390005</wp:posOffset>
            </wp:positionV>
            <wp:extent cx="6755130" cy="2540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6390005</wp:posOffset>
            </wp:positionV>
            <wp:extent cx="6755130" cy="2540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675513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603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6755130" cy="260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603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6755130" cy="260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603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6755130" cy="260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6389370</wp:posOffset>
            </wp:positionV>
            <wp:extent cx="6755130" cy="2540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6755130"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577215</wp:posOffset>
            </wp:positionV>
            <wp:extent cx="6463665" cy="498030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clrChange>
                        <a:clrFrom>
                          <a:srgbClr val="FFFFFF"/>
                        </a:clrFrom>
                        <a:clrTo>
                          <a:srgbClr val="FFFFFF">
                            <a:alpha val="0"/>
                          </a:srgbClr>
                        </a:clrTo>
                      </a:clrChange>
                      <a:extLst>
                        <a:ext uri="{28A0092B-C50C-407E-A947-70E740481C1C}"/>
                      </a:extLst>
                    </a:blip>
                    <a:srcRect/>
                    <a:stretch>
                      <a:fillRect/>
                    </a:stretch>
                  </pic:blipFill>
                  <pic:spPr bwMode="auto">
                    <a:xfrm>
                      <a:off x="0" y="0"/>
                      <a:ext cx="6463665" cy="4980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ind w:right="219"/>
        <w:spacing w:after="0"/>
        <w:rPr>
          <w:sz w:val="20"/>
          <w:szCs w:val="20"/>
          <w:color w:val="auto"/>
        </w:rPr>
      </w:pPr>
      <w:r>
        <w:rPr>
          <w:rFonts w:ascii="Arial" w:cs="Arial" w:eastAsia="Arial" w:hAnsi="Arial"/>
          <w:sz w:val="20"/>
          <w:szCs w:val="20"/>
          <w:b w:val="1"/>
          <w:bCs w:val="1"/>
          <w:color w:val="auto"/>
        </w:rPr>
        <w:t>Exhibit 99.3</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G-III APPAREL GROUP, LTD.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ANNOUNCES OFFERING OF $350 MILLION OF SENIOR SECURED NOTES DUE 2025</w:t>
      </w:r>
    </w:p>
    <w:p>
      <w:pPr>
        <w:spacing w:after="0" w:line="200" w:lineRule="exact"/>
        <w:rPr>
          <w:sz w:val="20"/>
          <w:szCs w:val="20"/>
          <w:color w:val="auto"/>
        </w:rPr>
      </w:pPr>
    </w:p>
    <w:p>
      <w:pPr>
        <w:spacing w:after="0" w:line="281" w:lineRule="exact"/>
        <w:rPr>
          <w:sz w:val="20"/>
          <w:szCs w:val="20"/>
          <w:color w:val="auto"/>
        </w:rPr>
      </w:pPr>
    </w:p>
    <w:p>
      <w:pPr>
        <w:jc w:val="both"/>
        <w:ind w:left="200" w:right="239"/>
        <w:spacing w:after="0" w:line="248" w:lineRule="auto"/>
        <w:rPr>
          <w:sz w:val="20"/>
          <w:szCs w:val="20"/>
          <w:color w:val="auto"/>
        </w:rPr>
      </w:pPr>
      <w:r>
        <w:rPr>
          <w:rFonts w:ascii="Arial" w:cs="Arial" w:eastAsia="Arial" w:hAnsi="Arial"/>
          <w:sz w:val="18"/>
          <w:szCs w:val="18"/>
          <w:color w:val="auto"/>
        </w:rPr>
        <w:t>NEW YORK -- July 28, 2020 -- G-III Apparel Group, Ltd. (the “Company”) (Nasdaq GS: GIII) today announced that it intends to offer $350 million aggregate principal amount of Senior Secured Notes Due 2025 (the “Notes”), subject to market and other conditions (the “Offering”).</w:t>
      </w:r>
    </w:p>
    <w:p>
      <w:pPr>
        <w:spacing w:after="0" w:line="209" w:lineRule="exact"/>
        <w:rPr>
          <w:sz w:val="20"/>
          <w:szCs w:val="20"/>
          <w:color w:val="auto"/>
        </w:rPr>
      </w:pPr>
    </w:p>
    <w:p>
      <w:pPr>
        <w:ind w:left="200" w:right="439"/>
        <w:spacing w:after="0" w:line="293" w:lineRule="auto"/>
        <w:rPr>
          <w:sz w:val="20"/>
          <w:szCs w:val="20"/>
          <w:color w:val="auto"/>
        </w:rPr>
      </w:pPr>
      <w:r>
        <w:rPr>
          <w:rFonts w:ascii="Arial" w:cs="Arial" w:eastAsia="Arial" w:hAnsi="Arial"/>
          <w:sz w:val="18"/>
          <w:szCs w:val="18"/>
          <w:color w:val="auto"/>
        </w:rPr>
        <w:t>The Company intends to use the net proceeds of the Offering (i) to repay its existing term loan facility due 2022, (ii) for general corporate purposes and (iii) to pay related fees and expenses.</w:t>
      </w:r>
    </w:p>
    <w:p>
      <w:pPr>
        <w:spacing w:after="0" w:line="183" w:lineRule="exact"/>
        <w:rPr>
          <w:sz w:val="20"/>
          <w:szCs w:val="20"/>
          <w:color w:val="auto"/>
        </w:rPr>
      </w:pPr>
    </w:p>
    <w:p>
      <w:pPr>
        <w:jc w:val="both"/>
        <w:ind w:left="200" w:right="219"/>
        <w:spacing w:after="0" w:line="272" w:lineRule="auto"/>
        <w:rPr>
          <w:sz w:val="20"/>
          <w:szCs w:val="20"/>
          <w:color w:val="auto"/>
        </w:rPr>
      </w:pPr>
      <w:r>
        <w:rPr>
          <w:rFonts w:ascii="Arial" w:cs="Arial" w:eastAsia="Arial" w:hAnsi="Arial"/>
          <w:sz w:val="18"/>
          <w:szCs w:val="18"/>
          <w:color w:val="auto"/>
        </w:rPr>
        <w:t>The Notes will be offered in the United States to persons reasonably believed to be qualified institutional buyers pursuant to Rule 144A under the Securities Act of 1933, as amended (the “Securities Act”), and outside the United States pursuant to Regulation S under the Securities Act. The Notes have not been registered under the Securities Act and may not be offered or sold in the United States absent registration or an applicable exemption from the registration requirements.</w:t>
      </w:r>
    </w:p>
    <w:p>
      <w:pPr>
        <w:spacing w:after="0" w:line="204"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8"/>
          <w:szCs w:val="18"/>
          <w:color w:val="auto"/>
        </w:rPr>
        <w:t>This press release is neither an offer to sell nor a solicitation of an offer to buy any securities, nor shall there be any offer, solicitation or sale in any jurisdiction in which such offer, solicitation or sale would be unlawful. Any offers of the Notes will be made only by means of a private offering memorandum. This notice is being issued pursuant to and in accordance with Rule 135(c) under the Securities Act.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About G-III Apparel Group, Ltd.</w:t>
      </w:r>
    </w:p>
    <w:p>
      <w:pPr>
        <w:spacing w:after="0" w:line="229" w:lineRule="exact"/>
        <w:rPr>
          <w:sz w:val="20"/>
          <w:szCs w:val="20"/>
          <w:color w:val="auto"/>
        </w:rPr>
      </w:pPr>
    </w:p>
    <w:p>
      <w:pPr>
        <w:jc w:val="both"/>
        <w:ind w:left="200" w:right="219"/>
        <w:spacing w:after="0" w:line="270" w:lineRule="auto"/>
        <w:rPr>
          <w:sz w:val="20"/>
          <w:szCs w:val="20"/>
          <w:color w:val="auto"/>
        </w:rPr>
      </w:pPr>
      <w:r>
        <w:rPr>
          <w:rFonts w:ascii="Arial" w:cs="Arial" w:eastAsia="Arial" w:hAnsi="Arial"/>
          <w:sz w:val="16"/>
          <w:szCs w:val="16"/>
          <w:color w:val="auto"/>
        </w:rPr>
        <w:t>G-III designs, sources and markets apparel and accessories under owned, licensed and private label brands. G-III’s owned brands include DKNY, Donna Karan, Vilebrequin, G. H. Bass, Eliza J, Jessica Howard, Andrew Marc and Marc New York. G-III has fashion licenses under the Calvin Klein, Tommy Hilfiger, Karl Lagerfeld Paris, Kenneth Cole, Cole Haan, Guess?, Vince Camuto, Levi's and Dockers brands. Through its team sports business, G-III has licenses with the National Football League, National Basketball Association, Major League Baseball, National Hockey League and over 150 U.S. colleges and universities. Through its retail subsidiaries, G-III also operates retail stores under the DKNY, Wilsons Leather, G. H. Bass, Vilebrequin, Karl Lagerfeld Paris and Calvin Klein Performance names. Subsequent to completion of the restructuring of its retail operations segment, G-III will, through two of its wholly-owned subsidiaries, continue to operate stores under the DKNY and Karl Lagerfeld Paris names. G-III, through wholly-owned foreign subsidiaries, will also continue to operate stores under the Vilebrequin name.</w:t>
      </w:r>
    </w:p>
    <w:p>
      <w:pPr>
        <w:spacing w:after="0" w:line="185"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7"/>
          <w:szCs w:val="17"/>
          <w:i w:val="1"/>
          <w:iCs w:val="1"/>
          <w:color w:val="auto"/>
        </w:rPr>
        <w:t>Statements concerning G-III's business outlook or future economic performance, anticipated revenues, expenses or other financial items; restructuring plans; product introductions and plans and objectives related thereto; and statements concerning assumptions made or expectations as to any future events, conditions, performance or other matters are "forward-looking statements" as that term is defined under the Federal Securities laws. Forward-looking statements are subject to risks, uncertainties and factors which include, but are not limited to, risks related to the COVID-19 outbreak, reliance on licensed product, reliance on foreign manufacturers, risks of doing business abroad, the current economic and credit environment, the nature of the apparel industry, including changing customer demand and tastes, customer concentration, seasonality, risks associated with the restructuring of our retail operations segment, risks of operating a retail business, risks related to G-III’s ability to reduce the losses incurred in its retail operations, customer acceptance of new products, the impact of competitive products and pricing, dependence on existing management, possible disruption from acquisitions, the impact on G-III’s business of the imposition of tariffs by the United States government and business and general economic conditions, as well as other risks detailed in G-III's filings with the Securities and Exchange Commission. G-III assumes no obligation to update the information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480695</wp:posOffset>
            </wp:positionV>
            <wp:extent cx="5452110" cy="2540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9" w:name="page40"/>
    <w:bookmarkEnd w:id="39"/>
    <w:p>
      <w:pPr>
        <w:ind w:left="200"/>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Contact:</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Priya Trivedi</w:t>
      </w:r>
    </w:p>
    <w:p>
      <w:pPr>
        <w:ind w:left="200"/>
        <w:spacing w:after="0"/>
        <w:rPr>
          <w:sz w:val="20"/>
          <w:szCs w:val="20"/>
          <w:color w:val="auto"/>
        </w:rPr>
      </w:pPr>
      <w:r>
        <w:rPr>
          <w:rFonts w:ascii="Arial" w:cs="Arial" w:eastAsia="Arial" w:hAnsi="Arial"/>
          <w:sz w:val="16"/>
          <w:szCs w:val="16"/>
          <w:color w:val="auto"/>
        </w:rPr>
        <w:t>VP of Investor Relations and Treasurer</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(646) 473-5157</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Relations Contact:</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Tom Filandro</w:t>
      </w:r>
    </w:p>
    <w:p>
      <w:pPr>
        <w:ind w:left="200"/>
        <w:spacing w:after="0" w:line="234" w:lineRule="auto"/>
        <w:rPr>
          <w:sz w:val="20"/>
          <w:szCs w:val="20"/>
          <w:color w:val="auto"/>
        </w:rPr>
      </w:pPr>
      <w:r>
        <w:rPr>
          <w:rFonts w:ascii="Arial" w:cs="Arial" w:eastAsia="Arial" w:hAnsi="Arial"/>
          <w:sz w:val="18"/>
          <w:szCs w:val="18"/>
          <w:color w:val="auto"/>
        </w:rPr>
        <w:t>ICR, Inc.</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(646) 277-1235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603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9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jpeg"/><Relationship Id="rId1003" Type="http://schemas.openxmlformats.org/officeDocument/2006/relationships/image" Target="media/image996.png"/><Relationship Id="rId1004" Type="http://schemas.openxmlformats.org/officeDocument/2006/relationships/image" Target="media/image997.jpeg"/><Relationship Id="rId1005" Type="http://schemas.openxmlformats.org/officeDocument/2006/relationships/image" Target="media/image998.png"/><Relationship Id="rId1006" Type="http://schemas.openxmlformats.org/officeDocument/2006/relationships/image" Target="media/image999.jpeg"/><Relationship Id="rId1007" Type="http://schemas.openxmlformats.org/officeDocument/2006/relationships/image" Target="media/image1000.png"/><Relationship Id="rId1008" Type="http://schemas.openxmlformats.org/officeDocument/2006/relationships/image" Target="media/image1001.jpeg"/><Relationship Id="rId1009" Type="http://schemas.openxmlformats.org/officeDocument/2006/relationships/image" Target="media/image1002.png"/><Relationship Id="rId1010" Type="http://schemas.openxmlformats.org/officeDocument/2006/relationships/image" Target="media/image1003.jpeg"/><Relationship Id="rId1011" Type="http://schemas.openxmlformats.org/officeDocument/2006/relationships/image" Target="media/image1004.png"/><Relationship Id="rId1012" Type="http://schemas.openxmlformats.org/officeDocument/2006/relationships/image" Target="media/image1005.jpeg"/><Relationship Id="rId1013" Type="http://schemas.openxmlformats.org/officeDocument/2006/relationships/image" Target="media/image1006.png"/><Relationship Id="rId1014" Type="http://schemas.openxmlformats.org/officeDocument/2006/relationships/image" Target="media/image1007.jpeg"/><Relationship Id="rId1015" Type="http://schemas.openxmlformats.org/officeDocument/2006/relationships/image" Target="media/image1008.png"/><Relationship Id="rId1016" Type="http://schemas.openxmlformats.org/officeDocument/2006/relationships/image" Target="media/image1009.jpeg"/><Relationship Id="rId1017" Type="http://schemas.openxmlformats.org/officeDocument/2006/relationships/image" Target="media/image1010.png"/><Relationship Id="rId1018" Type="http://schemas.openxmlformats.org/officeDocument/2006/relationships/image" Target="media/image1011.jpeg"/><Relationship Id="rId1019" Type="http://schemas.openxmlformats.org/officeDocument/2006/relationships/image" Target="media/image1012.png"/><Relationship Id="rId1020" Type="http://schemas.openxmlformats.org/officeDocument/2006/relationships/image" Target="media/image1013.jpeg"/><Relationship Id="rId1021" Type="http://schemas.openxmlformats.org/officeDocument/2006/relationships/image" Target="media/image1014.png"/><Relationship Id="rId1022" Type="http://schemas.openxmlformats.org/officeDocument/2006/relationships/image" Target="media/image1015.jpeg"/><Relationship Id="rId1023" Type="http://schemas.openxmlformats.org/officeDocument/2006/relationships/image" Target="media/image1016.png"/><Relationship Id="rId1024" Type="http://schemas.openxmlformats.org/officeDocument/2006/relationships/image" Target="media/image1017.jpeg"/><Relationship Id="rId1025" Type="http://schemas.openxmlformats.org/officeDocument/2006/relationships/image" Target="media/image1018.png"/><Relationship Id="rId1026" Type="http://schemas.openxmlformats.org/officeDocument/2006/relationships/image" Target="media/image1019.jpeg"/><Relationship Id="rId1027" Type="http://schemas.openxmlformats.org/officeDocument/2006/relationships/image" Target="media/image1020.png"/><Relationship Id="rId1028" Type="http://schemas.openxmlformats.org/officeDocument/2006/relationships/image" Target="media/image1021.jpeg"/><Relationship Id="rId1029" Type="http://schemas.openxmlformats.org/officeDocument/2006/relationships/image" Target="media/image1022.png"/><Relationship Id="rId1030" Type="http://schemas.openxmlformats.org/officeDocument/2006/relationships/image" Target="media/image1023.jpeg"/><Relationship Id="rId1031" Type="http://schemas.openxmlformats.org/officeDocument/2006/relationships/image" Target="media/image1024.png"/><Relationship Id="rId1032" Type="http://schemas.openxmlformats.org/officeDocument/2006/relationships/image" Target="media/image1025.jpeg"/><Relationship Id="rId1033" Type="http://schemas.openxmlformats.org/officeDocument/2006/relationships/image" Target="media/image1026.png"/><Relationship Id="rId1034" Type="http://schemas.openxmlformats.org/officeDocument/2006/relationships/image" Target="media/image1027.jpeg"/><Relationship Id="rId1035" Type="http://schemas.openxmlformats.org/officeDocument/2006/relationships/image" Target="media/image1028.png"/><Relationship Id="rId1036" Type="http://schemas.openxmlformats.org/officeDocument/2006/relationships/image" Target="media/image1029.jpeg"/><Relationship Id="rId1037" Type="http://schemas.openxmlformats.org/officeDocument/2006/relationships/image" Target="media/image1030.png"/><Relationship Id="rId1038" Type="http://schemas.openxmlformats.org/officeDocument/2006/relationships/image" Target="media/image1031.jpeg"/><Relationship Id="rId1039" Type="http://schemas.openxmlformats.org/officeDocument/2006/relationships/image" Target="media/image1032.png"/><Relationship Id="rId1040" Type="http://schemas.openxmlformats.org/officeDocument/2006/relationships/image" Target="media/image1033.jpeg"/><Relationship Id="rId1041" Type="http://schemas.openxmlformats.org/officeDocument/2006/relationships/image" Target="media/image1034.png"/><Relationship Id="rId1042" Type="http://schemas.openxmlformats.org/officeDocument/2006/relationships/image" Target="media/image1035.jpeg"/><Relationship Id="rId1043" Type="http://schemas.openxmlformats.org/officeDocument/2006/relationships/image" Target="media/image1036.png"/><Relationship Id="rId1044" Type="http://schemas.openxmlformats.org/officeDocument/2006/relationships/image" Target="media/image1037.jpe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jpeg"/><Relationship Id="rId1048" Type="http://schemas.openxmlformats.org/officeDocument/2006/relationships/image" Target="media/image1041.png"/><Relationship Id="rId1049" Type="http://schemas.openxmlformats.org/officeDocument/2006/relationships/image" Target="media/image1042.jpeg"/><Relationship Id="rId1050" Type="http://schemas.openxmlformats.org/officeDocument/2006/relationships/image" Target="media/image1043.png"/><Relationship Id="rId1051" Type="http://schemas.openxmlformats.org/officeDocument/2006/relationships/image" Target="media/image1044.jpeg"/><Relationship Id="rId1052" Type="http://schemas.openxmlformats.org/officeDocument/2006/relationships/image" Target="media/image1045.png"/><Relationship Id="rId1053" Type="http://schemas.openxmlformats.org/officeDocument/2006/relationships/image" Target="media/image1046.jpeg"/><Relationship Id="rId1054" Type="http://schemas.openxmlformats.org/officeDocument/2006/relationships/image" Target="media/image1047.png"/><Relationship Id="rId1055" Type="http://schemas.openxmlformats.org/officeDocument/2006/relationships/image" Target="media/image1048.jpeg"/><Relationship Id="rId1056" Type="http://schemas.openxmlformats.org/officeDocument/2006/relationships/image" Target="media/image1049.png"/><Relationship Id="rId1057" Type="http://schemas.openxmlformats.org/officeDocument/2006/relationships/image" Target="media/image1050.jpeg"/><Relationship Id="rId1058" Type="http://schemas.openxmlformats.org/officeDocument/2006/relationships/image" Target="media/image1051.png"/><Relationship Id="rId1059" Type="http://schemas.openxmlformats.org/officeDocument/2006/relationships/image" Target="media/image1052.jpeg"/><Relationship Id="rId1060" Type="http://schemas.openxmlformats.org/officeDocument/2006/relationships/image" Target="media/image1053.png"/><Relationship Id="rId1061" Type="http://schemas.openxmlformats.org/officeDocument/2006/relationships/image" Target="media/image1054.jpeg"/><Relationship Id="rId1062" Type="http://schemas.openxmlformats.org/officeDocument/2006/relationships/image" Target="media/image1055.png"/><Relationship Id="rId1063" Type="http://schemas.openxmlformats.org/officeDocument/2006/relationships/image" Target="media/image1056.jpeg"/><Relationship Id="rId1064" Type="http://schemas.openxmlformats.org/officeDocument/2006/relationships/image" Target="media/image1057.png"/><Relationship Id="rId1065" Type="http://schemas.openxmlformats.org/officeDocument/2006/relationships/image" Target="media/image10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2020-07-28T07:33:46Z</dcterms:created>
  <dcterms:modified xsi:type="dcterms:W3CDTF">2020-07-28T07:33:46Z</dcterms:modified>
</cp:coreProperties>
</file>