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GOLDFARB MORRIS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G-III APPAREL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512 SEVENTH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 III APPAREL GROUP LTD /DE/</w:t>
              </w:r>
            </w:hyperlink>
            <w:r>
              <w:rPr/>
              <w:t xml:space="preserve"> [ </w:t>
            </w:r>
            <w:r>
              <w:rPr>
                <w:rFonts w:ascii="Times;serif" w:hAnsi="Times;serif"/>
                <w:color w:val="0000FF"/>
                <w:sz w:val="24"/>
                <w:shd w:fill="FFFFFF" w:val="clear"/>
              </w:rPr>
              <w:t>GIII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3"/>
        <w:gridCol w:w="919"/>
        <w:gridCol w:w="790"/>
        <w:gridCol w:w="610"/>
        <w:gridCol w:w="337"/>
        <w:gridCol w:w="1052"/>
        <w:gridCol w:w="412"/>
        <w:gridCol w:w="743"/>
        <w:gridCol w:w="1239"/>
        <w:gridCol w:w="955"/>
        <w:gridCol w:w="124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840,000</w:t>
            </w:r>
            <w:r>
              <w:rPr>
                <w:rFonts w:ascii="Times;serif" w:hAnsi="Times;serif"/>
                <w:color w:val="008000"/>
                <w:position w:val="7"/>
                <w:sz w:val="16"/>
                <w:sz w:val="20"/>
                <w:shd w:fill="FFFFFF" w:val="clear"/>
              </w:rPr>
              <w:t>(1)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4,952,195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464,520</w:t>
            </w:r>
            <w:r>
              <w:rPr>
                <w:rFonts w:ascii="Times;serif" w:hAnsi="Times;serif"/>
                <w:color w:val="008000"/>
                <w:position w:val="7"/>
                <w:sz w:val="16"/>
                <w:sz w:val="20"/>
                <w:shd w:fill="FFFFFF" w:val="clear"/>
              </w:rPr>
              <w:t>(2)</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4,487,675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Arlene Goldfarb 2012 Delaware Trust</w:t>
            </w:r>
          </w:p>
        </w:tc>
      </w:tr>
      <w:tr>
        <w:trPr/>
        <w:tc>
          <w:tcPr>
            <w:tcW w:w="19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166,750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Goldfarb Family Partners, LLC</w:t>
            </w:r>
          </w:p>
        </w:tc>
      </w:tr>
      <w:tr>
        <w:trPr/>
        <w:tc>
          <w:tcPr>
            <w:tcW w:w="19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Goldfarb 2012 Delaware Trust</w:t>
            </w:r>
          </w:p>
        </w:tc>
      </w:tr>
      <w:tr>
        <w:trPr/>
        <w:tc>
          <w:tcPr>
            <w:tcW w:w="19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29,666</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w:t>
            </w:r>
          </w:p>
        </w:tc>
      </w:tr>
      <w:tr>
        <w:trPr/>
        <w:tc>
          <w:tcPr>
            <w:tcW w:w="19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140,258</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Morris And Arlene Goldfarb Family Foundation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vesting of Performance Stock Units ("PSUs") granted on August 9, 2023 and October 17, 2023, representing a target award of 700,000 shares of G-III Apparel Group, Ltd. (the "Company") common stock, subject to satisfaction of one of two stock price performance conditions during the performance period from August 9, 2023 through August 9, 2026, as adjusted by a total shareholder return ("TSR") modifier providing for a maximum 20% upward or downward adjustment based on the Company's TSR relative to the TSR of certain comparator companies during the performance period. On August 18, 2026, the Compensation Committee certified that one of the stock price performance conditions was achieved, resulting in the target number of shares under the PSU being earned, and that application of the TSR modifier resulted in a 20% upward adjustment of the number of shares deliverable under the PSU, resulting in a total of 840,000 shares being earned under the PSUs.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satisfy the Reporting Person's tax obligation in connection with the 840,000 shares earned under the PSUs described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Morris Goldfarb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07772" TargetMode="External"/><Relationship Id="rId5" Type="http://schemas.openxmlformats.org/officeDocument/2006/relationships/hyperlink" Target="http://www.sec.gov/cgi-bin/browse-edgar?action=getcompany&amp;CIK=0000821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4442</Characters>
  <CharactersWithSpaces>5176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