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483235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September 4, 2025</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G-III APPAREL GROUP,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99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0-18183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8"/>
          <w:szCs w:val="18"/>
          <w:b w:val="1"/>
          <w:bCs w:val="1"/>
          <w:color w:val="auto"/>
        </w:rPr>
        <w:t>41-1590959</w:t>
      </w:r>
    </w:p>
    <w:p>
      <w:pPr>
        <w:spacing w:after="0" w:line="31"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520" w:space="240"/>
            <w:col w:w="1980" w:space="300"/>
            <w:col w:w="2979"/>
          </w:cols>
          <w:pgMar w:left="1440" w:top="995" w:right="1440" w:bottom="1440" w:gutter="0" w:footer="0" w:header="0"/>
          <w:type w:val="continuous"/>
        </w:sectPr>
      </w:pPr>
    </w:p>
    <w:p>
      <w:pPr>
        <w:spacing w:after="0" w:line="16" w:lineRule="exact"/>
        <w:rPr>
          <w:sz w:val="24"/>
          <w:szCs w:val="24"/>
          <w:color w:val="auto"/>
        </w:rPr>
      </w:pPr>
    </w:p>
    <w:p>
      <w:pPr>
        <w:jc w:val="center"/>
        <w:ind w:left="1640"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 Seventh Avenue New York, New York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79"/>
        <w:spacing w:after="0"/>
        <w:rPr>
          <w:sz w:val="20"/>
          <w:szCs w:val="20"/>
          <w:color w:val="auto"/>
        </w:rPr>
      </w:pPr>
      <w:r>
        <w:rPr>
          <w:rFonts w:ascii="Times New Roman" w:cs="Times New Roman" w:eastAsia="Times New Roman" w:hAnsi="Times New Roman"/>
          <w:sz w:val="18"/>
          <w:szCs w:val="18"/>
          <w:b w:val="1"/>
          <w:bCs w:val="1"/>
          <w:color w:val="auto"/>
        </w:rPr>
        <w:t>10018</w:t>
      </w:r>
    </w:p>
    <w:p>
      <w:pPr>
        <w:spacing w:after="0" w:line="31" w:lineRule="exact"/>
        <w:rPr>
          <w:sz w:val="24"/>
          <w:szCs w:val="24"/>
          <w:color w:val="auto"/>
        </w:rPr>
      </w:pPr>
    </w:p>
    <w:p>
      <w:pPr>
        <w:jc w:val="center"/>
        <w:ind w:right="2479"/>
        <w:spacing w:after="0"/>
        <w:rPr>
          <w:sz w:val="20"/>
          <w:szCs w:val="20"/>
          <w:color w:val="auto"/>
        </w:rPr>
      </w:pPr>
      <w:r>
        <w:rPr>
          <w:rFonts w:ascii="Times New Roman" w:cs="Times New Roman" w:eastAsia="Times New Roman" w:hAnsi="Times New Roman"/>
          <w:sz w:val="17"/>
          <w:szCs w:val="17"/>
          <w:color w:val="auto"/>
        </w:rPr>
        <w:t>(Zip Code)</w:t>
      </w:r>
    </w:p>
    <w:p>
      <w:pPr>
        <w:spacing w:after="0" w:line="430" w:lineRule="exact"/>
        <w:rPr>
          <w:sz w:val="24"/>
          <w:szCs w:val="24"/>
          <w:color w:val="auto"/>
        </w:rPr>
      </w:pPr>
    </w:p>
    <w:p>
      <w:pPr>
        <w:sectPr>
          <w:pgSz w:w="11900" w:h="16838" w:orient="portrait"/>
          <w:cols w:equalWidth="0" w:num="2">
            <w:col w:w="5040" w:space="720"/>
            <w:col w:w="3259"/>
          </w:cols>
          <w:pgMar w:left="1440" w:top="99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(212) 403-0500</w:t>
      </w:r>
    </w:p>
    <w:p>
      <w:pPr>
        <w:sectPr>
          <w:pgSz w:w="11900" w:h="16838" w:orient="portrait"/>
          <w:cols w:equalWidth="0" w:num="1">
            <w:col w:w="9019"/>
          </w:cols>
          <w:pgMar w:left="1440" w:top="995" w:right="1440"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90" w:type="dxa"/>
        <w:tblCellMar>
          <w:top w:w="0" w:type="dxa"/>
          <w:left w:w="0" w:type="dxa"/>
          <w:bottom w:w="0" w:type="dxa"/>
          <w:right w:w="0" w:type="dxa"/>
        </w:tblCellMar>
      </w:tblPr>
      <w:tr>
        <w:trPr>
          <w:trHeight w:val="248"/>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GIII</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4"/>
          <w:szCs w:val="24"/>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w:t>
      </w:r>
    </w:p>
    <w:p>
      <w:pPr>
        <w:ind w:left="200"/>
        <w:spacing w:after="0" w:line="207" w:lineRule="exact"/>
        <w:tabs>
          <w:tab w:leader="none" w:pos="4720" w:val="left"/>
        </w:tabs>
        <w:rPr>
          <w:sz w:val="20"/>
          <w:szCs w:val="20"/>
          <w:color w:val="auto"/>
        </w:rPr>
      </w:pPr>
      <w:r>
        <w:rPr>
          <w:rFonts w:ascii="Times New Roman" w:cs="Times New Roman" w:eastAsia="Times New Roman" w:hAnsi="Times New Roman"/>
          <w:sz w:val="18"/>
          <w:szCs w:val="18"/>
          <w:color w:val="auto"/>
        </w:rPr>
        <w:t>chapter).</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90" w:lineRule="exact"/>
        <w:rPr>
          <w:sz w:val="24"/>
          <w:szCs w:val="24"/>
          <w:color w:val="auto"/>
        </w:rPr>
      </w:pPr>
    </w:p>
    <w:p>
      <w:pPr>
        <w:jc w:val="both"/>
        <w:ind w:left="200" w:right="21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676910</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299720</wp:posOffset>
            </wp:positionV>
            <wp:extent cx="545211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265430</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type w:val="continuous"/>
        </w:sectPr>
      </w:pPr>
    </w:p>
    <w:bookmarkStart w:id="1" w:name="page2"/>
    <w:bookmarkEnd w:id="1"/>
    <w:p>
      <w:pPr>
        <w:ind w:left="20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200" w:right="219" w:firstLine="324"/>
        <w:spacing w:after="0" w:line="266" w:lineRule="auto"/>
        <w:rPr>
          <w:sz w:val="20"/>
          <w:szCs w:val="20"/>
          <w:color w:val="auto"/>
        </w:rPr>
      </w:pPr>
      <w:r>
        <w:rPr>
          <w:rFonts w:ascii="Times New Roman" w:cs="Times New Roman" w:eastAsia="Times New Roman" w:hAnsi="Times New Roman"/>
          <w:sz w:val="18"/>
          <w:szCs w:val="18"/>
          <w:color w:val="auto"/>
        </w:rPr>
        <w:t>On September 4, 2025, G-III Apparel Group, Ltd. (the “Company”) announced its results of operations for the second fiscal quarter ended July 31, 2025. A copy of the press release issued by the Company relating thereto is furnished herewith as Exhibit 99.1.</w:t>
      </w:r>
    </w:p>
    <w:p>
      <w:pPr>
        <w:spacing w:after="0" w:line="172"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1180" w:right="4539" w:hanging="323"/>
        <w:spacing w:after="0" w:line="500"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1180" w:right="5419" w:hanging="323"/>
        <w:spacing w:after="0" w:line="500"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1180" w:right="5759" w:hanging="323"/>
        <w:spacing w:after="0" w:line="500"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1180" w:hanging="323"/>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680" w:right="219" w:hanging="742"/>
        <w:spacing w:after="0" w:line="282" w:lineRule="auto"/>
        <w:tabs>
          <w:tab w:leader="none" w:pos="1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G-III Apparel Group, Ltd. issued on September 4, 2025 relating to its second quarter fiscal 2026 results.</w:t>
      </w:r>
    </w:p>
    <w:p>
      <w:pPr>
        <w:spacing w:after="0" w:line="162" w:lineRule="exact"/>
        <w:rPr>
          <w:sz w:val="20"/>
          <w:szCs w:val="20"/>
          <w:color w:val="auto"/>
        </w:rPr>
      </w:pPr>
    </w:p>
    <w:p>
      <w:pPr>
        <w:ind w:left="94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Limitation on Incorporation by Reference</w:t>
      </w:r>
    </w:p>
    <w:p>
      <w:pPr>
        <w:spacing w:after="0" w:line="225" w:lineRule="exact"/>
        <w:rPr>
          <w:sz w:val="20"/>
          <w:szCs w:val="20"/>
          <w:color w:val="auto"/>
        </w:rPr>
      </w:pPr>
    </w:p>
    <w:p>
      <w:pPr>
        <w:jc w:val="both"/>
        <w:ind w:left="860" w:right="21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reported under Item 2.02 and in Exhibit 99.1 shall not be deemed "filed" for purposes of Section 18 of the Securities Exchange Act of 1934, as amended, is not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2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6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G-III Apparel Group, Ltd. issued on September 4, 2025 relating to its second quarter</w:t>
            </w:r>
          </w:p>
        </w:tc>
      </w:tr>
      <w:tr>
        <w:trPr>
          <w:trHeight w:val="196"/>
        </w:trPr>
        <w:tc>
          <w:tcPr>
            <w:tcW w:w="1080" w:type="dxa"/>
            <w:vAlign w:val="bottom"/>
          </w:tcPr>
          <w:p>
            <w:pPr>
              <w:spacing w:after="0"/>
              <w:rPr>
                <w:sz w:val="17"/>
                <w:szCs w:val="17"/>
                <w:color w:val="auto"/>
              </w:rPr>
            </w:pPr>
          </w:p>
        </w:tc>
        <w:tc>
          <w:tcPr>
            <w:tcW w:w="7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fiscal 2026 results.</w:t>
            </w:r>
          </w:p>
        </w:tc>
      </w:tr>
      <w:tr>
        <w:trPr>
          <w:trHeight w:val="20"/>
        </w:trPr>
        <w:tc>
          <w:tcPr>
            <w:tcW w:w="10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9" w:lineRule="exact"/>
        <w:rPr>
          <w:sz w:val="20"/>
          <w:szCs w:val="20"/>
          <w:color w:val="auto"/>
        </w:rPr>
      </w:pPr>
    </w:p>
    <w:p>
      <w:pPr>
        <w:ind w:left="4460" w:right="1819" w:hanging="4152"/>
        <w:spacing w:after="0" w:line="783" w:lineRule="auto"/>
        <w:tabs>
          <w:tab w:leader="none" w:pos="13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182880</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G-III APPAREL GROUP, LTD.</w:t>
      </w:r>
    </w:p>
    <w:p>
      <w:pPr>
        <w:spacing w:after="0" w:line="225" w:lineRule="exact"/>
        <w:rPr>
          <w:sz w:val="20"/>
          <w:szCs w:val="20"/>
          <w:color w:val="auto"/>
        </w:rPr>
      </w:pPr>
    </w:p>
    <w:p>
      <w:pPr>
        <w:ind w:left="220"/>
        <w:spacing w:after="0"/>
        <w:tabs>
          <w:tab w:leader="none" w:pos="4440" w:val="left"/>
          <w:tab w:leader="none" w:pos="4920" w:val="left"/>
        </w:tabs>
        <w:rPr>
          <w:sz w:val="20"/>
          <w:szCs w:val="20"/>
          <w:color w:val="auto"/>
        </w:rPr>
      </w:pPr>
      <w:r>
        <w:rPr>
          <w:rFonts w:ascii="Times New Roman" w:cs="Times New Roman" w:eastAsia="Times New Roman" w:hAnsi="Times New Roman"/>
          <w:sz w:val="18"/>
          <w:szCs w:val="18"/>
          <w:color w:val="auto"/>
        </w:rPr>
        <w:t>Date: September 4, 2025</w:t>
      </w:r>
      <w:r>
        <w:rPr>
          <w:sz w:val="20"/>
          <w:szCs w:val="20"/>
          <w:color w:val="auto"/>
        </w:rPr>
        <w:tab/>
      </w:r>
      <w:r>
        <w:rPr>
          <w:rFonts w:ascii="Times New Roman" w:cs="Times New Roman" w:eastAsia="Times New Roman" w:hAnsi="Times New Roman"/>
          <w:sz w:val="18"/>
          <w:szCs w:val="18"/>
          <w:color w:val="auto"/>
        </w:rPr>
        <w:t>By:</w:t>
        <w:tab/>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244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Name:Neal S. Nackman</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9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5"/>
          <w:szCs w:val="25"/>
          <w:b w:val="1"/>
          <w:bCs w:val="1"/>
          <w:color w:val="auto"/>
        </w:rPr>
        <w:t>G-III APPAREL GROUP, LTD.</w:t>
      </w:r>
    </w:p>
    <w:p>
      <w:pPr>
        <w:spacing w:after="0" w:line="304" w:lineRule="exact"/>
        <w:rPr>
          <w:sz w:val="20"/>
          <w:szCs w:val="20"/>
          <w:color w:val="auto"/>
        </w:rPr>
      </w:pPr>
    </w:p>
    <w:p>
      <w:pPr>
        <w:jc w:val="center"/>
        <w:ind w:right="17"/>
        <w:spacing w:after="0" w:line="262" w:lineRule="auto"/>
        <w:rPr>
          <w:sz w:val="20"/>
          <w:szCs w:val="20"/>
          <w:color w:val="auto"/>
        </w:rPr>
      </w:pPr>
      <w:r>
        <w:rPr>
          <w:rFonts w:ascii="Times New Roman" w:cs="Times New Roman" w:eastAsia="Times New Roman" w:hAnsi="Times New Roman"/>
          <w:sz w:val="22"/>
          <w:szCs w:val="22"/>
          <w:b w:val="1"/>
          <w:bCs w:val="1"/>
          <w:color w:val="auto"/>
        </w:rPr>
        <w:t>G-III APPAREL GROUP, LTD. REPORTS SECOND QUARTER FISCAL 2026 RESULTS; PROVIDES UPDATED FISCAL 2026 OUTLOOK</w:t>
      </w:r>
    </w:p>
    <w:p>
      <w:pPr>
        <w:spacing w:after="0" w:line="177" w:lineRule="exact"/>
        <w:rPr>
          <w:sz w:val="20"/>
          <w:szCs w:val="20"/>
          <w:color w:val="auto"/>
        </w:rPr>
      </w:pPr>
    </w:p>
    <w:p>
      <w:pPr>
        <w:ind w:left="323" w:right="20" w:hanging="323"/>
        <w:spacing w:after="0" w:line="243"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Net Income Per Diluted Share of $0.25 and Net Sales of $613.3 Million for the Second Quarter, Both Exceeding Guidance</w:t>
      </w:r>
    </w:p>
    <w:p>
      <w:pPr>
        <w:spacing w:after="0" w:line="1" w:lineRule="exact"/>
        <w:rPr>
          <w:rFonts w:ascii="Times New Roman" w:cs="Times New Roman" w:eastAsia="Times New Roman" w:hAnsi="Times New Roman"/>
          <w:sz w:val="18"/>
          <w:szCs w:val="18"/>
          <w:color w:val="auto"/>
        </w:rPr>
      </w:pPr>
    </w:p>
    <w:p>
      <w:pPr>
        <w:ind w:left="323" w:hanging="323"/>
        <w:spacing w:after="0" w:line="23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Repurchases of $24.6 Million or 1,140,988 Shares in the Second Quarter</w:t>
      </w:r>
    </w:p>
    <w:p>
      <w:pPr>
        <w:ind w:left="323" w:hanging="323"/>
        <w:spacing w:after="0" w:line="23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Maintains Strong Cash and Availability Position</w:t>
      </w:r>
    </w:p>
    <w:p>
      <w:pPr>
        <w:ind w:left="323" w:hanging="323"/>
        <w:spacing w:after="0"/>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Provides Updated Fiscal 2026 Guidance</w:t>
      </w:r>
    </w:p>
    <w:p>
      <w:pPr>
        <w:spacing w:after="0" w:line="196" w:lineRule="exact"/>
        <w:rPr>
          <w:sz w:val="20"/>
          <w:szCs w:val="20"/>
          <w:color w:val="auto"/>
        </w:rPr>
      </w:pPr>
    </w:p>
    <w:p>
      <w:pPr>
        <w:jc w:val="both"/>
        <w:ind w:left="3" w:right="20" w:firstLine="648"/>
        <w:spacing w:after="0" w:line="258" w:lineRule="auto"/>
        <w:rPr>
          <w:sz w:val="20"/>
          <w:szCs w:val="20"/>
          <w:color w:val="auto"/>
        </w:rPr>
      </w:pPr>
      <w:r>
        <w:rPr>
          <w:rFonts w:ascii="Times New Roman" w:cs="Times New Roman" w:eastAsia="Times New Roman" w:hAnsi="Times New Roman"/>
          <w:sz w:val="22"/>
          <w:szCs w:val="22"/>
          <w:color w:val="auto"/>
        </w:rPr>
        <w:t>New York, New York – September 4, 2025 – G-III Apparel Group, Ltd. (NasdaqGS: GIII) (“G-III” or the “Company”) today reported results for the second quarter of fiscal 2026, ended July 31, 2025.</w:t>
      </w:r>
    </w:p>
    <w:p>
      <w:pPr>
        <w:spacing w:after="0" w:line="185" w:lineRule="exact"/>
        <w:rPr>
          <w:sz w:val="20"/>
          <w:szCs w:val="20"/>
          <w:color w:val="auto"/>
        </w:rPr>
      </w:pPr>
    </w:p>
    <w:p>
      <w:pPr>
        <w:jc w:val="both"/>
        <w:ind w:left="3" w:firstLine="648"/>
        <w:spacing w:after="0" w:line="238" w:lineRule="auto"/>
        <w:rPr>
          <w:sz w:val="20"/>
          <w:szCs w:val="20"/>
          <w:color w:val="auto"/>
        </w:rPr>
      </w:pPr>
      <w:r>
        <w:rPr>
          <w:rFonts w:ascii="Times New Roman" w:cs="Times New Roman" w:eastAsia="Times New Roman" w:hAnsi="Times New Roman"/>
          <w:sz w:val="22"/>
          <w:szCs w:val="22"/>
          <w:color w:val="auto"/>
        </w:rPr>
        <w:t>Morris Goldfarb, G-III’s Chairman and Chief Executive Officer, said, “In the second quarter, we exceeded expectations across both net sales and earnings, driven by the strong momentum of our go-forward portfolio, led by DKNY, Donna Karan, Karl Lagerfeld, and Vilebrequin. These results highlight our ability to execute on strategic priorities and leverage our powerful corporate platform to maximize the full potential of our globally recognized brands.”</w:t>
      </w:r>
    </w:p>
    <w:p>
      <w:pPr>
        <w:spacing w:after="0" w:line="204" w:lineRule="exact"/>
        <w:rPr>
          <w:sz w:val="20"/>
          <w:szCs w:val="20"/>
          <w:color w:val="auto"/>
        </w:rPr>
      </w:pPr>
    </w:p>
    <w:p>
      <w:pPr>
        <w:jc w:val="both"/>
        <w:ind w:left="3" w:right="20" w:firstLine="648"/>
        <w:spacing w:after="0" w:line="235" w:lineRule="auto"/>
        <w:rPr>
          <w:sz w:val="20"/>
          <w:szCs w:val="20"/>
          <w:color w:val="auto"/>
        </w:rPr>
      </w:pPr>
      <w:r>
        <w:rPr>
          <w:rFonts w:ascii="Times New Roman" w:cs="Times New Roman" w:eastAsia="Times New Roman" w:hAnsi="Times New Roman"/>
          <w:sz w:val="22"/>
          <w:szCs w:val="22"/>
          <w:color w:val="auto"/>
        </w:rPr>
        <w:t>Mr. Goldfarb concluded, “Looking ahead, we have updated fiscal 2026 guidance to reflect the current macro environment, a more cautious outlook from our retail partners, as well as the impact of tariffs on our top and bottom lines. We are actively mitigating tariff pressures through a combination of vendor participation, selective sourcing shifts, and targeted price increases. I am confident in our ability to successfully navigate the challenging environment and responsibly exit the expiring licenses. Our strong balance sheet and dynamic business model provides the flexibility to invest in our brands as well as pursue strategic opportunities to drive long-term growth and shareholder value.”</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u w:val="single" w:color="auto"/>
          <w:color w:val="auto"/>
        </w:rPr>
        <w:t>Results of Operations</w:t>
      </w:r>
    </w:p>
    <w:p>
      <w:pPr>
        <w:spacing w:after="0" w:line="2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i w:val="1"/>
          <w:iCs w:val="1"/>
          <w:u w:val="single" w:color="auto"/>
          <w:color w:val="auto"/>
        </w:rPr>
        <w:t>Second Quarter Fiscal 2026</w:t>
      </w:r>
    </w:p>
    <w:p>
      <w:pPr>
        <w:spacing w:after="0" w:line="233" w:lineRule="exact"/>
        <w:rPr>
          <w:sz w:val="20"/>
          <w:szCs w:val="20"/>
          <w:color w:val="auto"/>
        </w:rPr>
      </w:pPr>
    </w:p>
    <w:p>
      <w:pPr>
        <w:jc w:val="both"/>
        <w:ind w:left="3"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sales </w:t>
      </w:r>
      <w:r>
        <w:rPr>
          <w:rFonts w:ascii="Times New Roman" w:cs="Times New Roman" w:eastAsia="Times New Roman" w:hAnsi="Times New Roman"/>
          <w:sz w:val="22"/>
          <w:szCs w:val="22"/>
          <w:color w:val="auto"/>
        </w:rPr>
        <w:t>for the second quarter ended July 31, 2025 decreased 5% to $613.3 million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$644.8 million in the prior year’s quarter.</w:t>
      </w:r>
    </w:p>
    <w:p>
      <w:pPr>
        <w:spacing w:after="0" w:line="177" w:lineRule="exact"/>
        <w:rPr>
          <w:sz w:val="20"/>
          <w:szCs w:val="20"/>
          <w:color w:val="auto"/>
        </w:rPr>
      </w:pPr>
    </w:p>
    <w:p>
      <w:pPr>
        <w:jc w:val="both"/>
        <w:ind w:left="3"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income </w:t>
      </w:r>
      <w:r>
        <w:rPr>
          <w:rFonts w:ascii="Times New Roman" w:cs="Times New Roman" w:eastAsia="Times New Roman" w:hAnsi="Times New Roman"/>
          <w:sz w:val="22"/>
          <w:szCs w:val="22"/>
          <w:color w:val="auto"/>
        </w:rPr>
        <w:t>for the second quarter ended July 31, 2025 was $10.9 million, or $0.25 per diluted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$24.2 million, or $0.53 per diluted share, in the prior year’s quarter.</w:t>
      </w:r>
    </w:p>
    <w:p>
      <w:pPr>
        <w:spacing w:after="0" w:line="177" w:lineRule="exact"/>
        <w:rPr>
          <w:sz w:val="20"/>
          <w:szCs w:val="20"/>
          <w:color w:val="auto"/>
        </w:rPr>
      </w:pPr>
    </w:p>
    <w:p>
      <w:pPr>
        <w:jc w:val="both"/>
        <w:ind w:left="3"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Non-GAAP net income per diluted share </w:t>
      </w:r>
      <w:r>
        <w:rPr>
          <w:rFonts w:ascii="Times New Roman" w:cs="Times New Roman" w:eastAsia="Times New Roman" w:hAnsi="Times New Roman"/>
          <w:sz w:val="21"/>
          <w:szCs w:val="21"/>
          <w:color w:val="auto"/>
        </w:rPr>
        <w:t>was $0.25 for the second quarter ended July 31,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compared to $0.52 in the same period last year. Non-GAAP net income per diluted share excludes (i) in the second quarter of fiscal 2026, $0.3 million in one-time severance expenses related to a closed warehouse and</w:t>
      </w:r>
    </w:p>
    <w:p>
      <w:pPr>
        <w:spacing w:after="0" w:line="2" w:lineRule="exact"/>
        <w:rPr>
          <w:sz w:val="20"/>
          <w:szCs w:val="20"/>
          <w:color w:val="auto"/>
        </w:rPr>
      </w:pPr>
    </w:p>
    <w:p>
      <w:pPr>
        <w:jc w:val="both"/>
        <w:ind w:left="3" w:hanging="3"/>
        <w:spacing w:after="0" w:line="234" w:lineRule="auto"/>
        <w:tabs>
          <w:tab w:leader="none" w:pos="32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second quarter of fiscal 2025, a ($0.6) million gain on the forgiveness of certain liabilities related to the acquisition of the minority interest of our DKNY business in China that we did not already own. The effect of these exclusions had no impact on earnings per diluted share in the second quarter of this year and was equal to ($0.01) per diluted share in last year’s second quarter.</w:t>
      </w:r>
    </w:p>
    <w:p>
      <w:pPr>
        <w:spacing w:after="0" w:line="21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514350</wp:posOffset>
            </wp:positionV>
            <wp:extent cx="608647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6475" cy="26035"/>
                    </a:xfrm>
                    <a:prstGeom prst="rect">
                      <a:avLst/>
                    </a:prstGeom>
                    <a:noFill/>
                  </pic:spPr>
                </pic:pic>
              </a:graphicData>
            </a:graphic>
          </wp:anchor>
        </w:drawing>
      </w:r>
    </w:p>
    <w:p>
      <w:pPr>
        <w:sectPr>
          <w:pgSz w:w="11900" w:h="16838" w:orient="portrait"/>
          <w:cols w:equalWidth="0" w:num="1">
            <w:col w:w="9583"/>
          </w:cols>
          <w:pgMar w:left="1237" w:top="108" w:right="10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i w:val="1"/>
          <w:iCs w:val="1"/>
          <w:u w:val="single" w:color="auto"/>
          <w:color w:val="auto"/>
        </w:rPr>
        <w:t>Balance Sheet as of Second Quarter Fiscal 2026</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Inventories </w:t>
      </w:r>
      <w:r>
        <w:rPr>
          <w:rFonts w:ascii="Times New Roman" w:cs="Times New Roman" w:eastAsia="Times New Roman" w:hAnsi="Times New Roman"/>
          <w:sz w:val="22"/>
          <w:szCs w:val="22"/>
          <w:color w:val="auto"/>
        </w:rPr>
        <w:t>increased 5% to $639.8 million this year compared to $610.5 million last year.</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Total debt </w:t>
      </w:r>
      <w:r>
        <w:rPr>
          <w:rFonts w:ascii="Times New Roman" w:cs="Times New Roman" w:eastAsia="Times New Roman" w:hAnsi="Times New Roman"/>
          <w:sz w:val="22"/>
          <w:szCs w:val="22"/>
          <w:color w:val="auto"/>
        </w:rPr>
        <w:t>decreased 96% to $15.5 million this year compared to $414.0 million last year. In August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we voluntarily redeemed the entire $400.0 million principal amount of our senior secured notes (the “Notes”) at a redemption price equal to 100% of the principal amount of the Notes plus accrued and unpaid interest. The payment was made with cash on hand and borrowings from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Capital Allocation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Share repurchases </w:t>
      </w:r>
      <w:r>
        <w:rPr>
          <w:rFonts w:ascii="Times New Roman" w:cs="Times New Roman" w:eastAsia="Times New Roman" w:hAnsi="Times New Roman"/>
          <w:sz w:val="22"/>
          <w:szCs w:val="22"/>
          <w:color w:val="auto"/>
        </w:rPr>
        <w:t>of 1,140,988 for $24.6 million were made in the second quarter ended July 31,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w:t>
      </w:r>
    </w:p>
    <w:p>
      <w:pPr>
        <w:spacing w:after="0" w:line="38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Company has provided guidance for fiscal 2026, which reflects the current macro environment, a more cautious outlook from our retail partners, as well as the impact of tariffs on our top and bottom lines. Based on current tariff rates, the Company anticipates a total incremental tariff cost of approximately $155 million. This has been partially offset through vendor participation, strategic sourcing shifts and targeted price increases. The remaining unmitigated impact, reflected in fiscal 2026 guidance, is estimated at $75 million, primarily weighted to the second half of the year.</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addition, the Company today provided its outlook for its third quarter ending October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Fiscal 2026</w:t>
      </w:r>
    </w:p>
    <w:p>
      <w:pPr>
        <w:spacing w:after="0" w:line="233"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sales </w:t>
      </w:r>
      <w:r>
        <w:rPr>
          <w:rFonts w:ascii="Times New Roman" w:cs="Times New Roman" w:eastAsia="Times New Roman" w:hAnsi="Times New Roman"/>
          <w:sz w:val="22"/>
          <w:szCs w:val="22"/>
          <w:color w:val="auto"/>
        </w:rPr>
        <w:t>are expected to be approximately $3.02 billion. This compares to net sales of $3.18 billion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fiscal 2025.</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income </w:t>
      </w:r>
      <w:r>
        <w:rPr>
          <w:rFonts w:ascii="Times New Roman" w:cs="Times New Roman" w:eastAsia="Times New Roman" w:hAnsi="Times New Roman"/>
          <w:sz w:val="22"/>
          <w:szCs w:val="22"/>
          <w:color w:val="auto"/>
        </w:rPr>
        <w:t>is expected to be between $112.0 million and $122.0 million, or diluted earnings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$2.53 and $2.73. This compares to net income of $193.6 million, or $4.20 per diluted share, for fiscal 2025.</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Non-GAAP net income </w:t>
      </w:r>
      <w:r>
        <w:rPr>
          <w:rFonts w:ascii="Times New Roman" w:cs="Times New Roman" w:eastAsia="Times New Roman" w:hAnsi="Times New Roman"/>
          <w:sz w:val="22"/>
          <w:szCs w:val="22"/>
          <w:color w:val="auto"/>
        </w:rPr>
        <w:t>for fiscal 2026 is expected to be between $113.0 million and $123.0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diluted earnings per share between $2.55 and $2.75. This compares to non-GAAP net income of $203.6 million, or diluted earnings per share of $4.42 for fiscal 2025.</w:t>
      </w:r>
    </w:p>
    <w:p>
      <w:pPr>
        <w:spacing w:after="0" w:line="19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Adjusted EBITDA </w:t>
      </w:r>
      <w:r>
        <w:rPr>
          <w:rFonts w:ascii="Times New Roman" w:cs="Times New Roman" w:eastAsia="Times New Roman" w:hAnsi="Times New Roman"/>
          <w:sz w:val="22"/>
          <w:szCs w:val="22"/>
          <w:color w:val="auto"/>
        </w:rPr>
        <w:t>for fiscal 2026 is expected to be between $198.0 million and $208.0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adjusted EBITDA of $325.9 million in fiscal 2025.</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Net interest expense </w:t>
      </w:r>
      <w:r>
        <w:rPr>
          <w:rFonts w:ascii="Times New Roman" w:cs="Times New Roman" w:eastAsia="Times New Roman" w:hAnsi="Times New Roman"/>
          <w:sz w:val="22"/>
          <w:szCs w:val="22"/>
          <w:color w:val="auto"/>
        </w:rPr>
        <w:t>is expected to be approximately $5.0 million.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Tax rate </w:t>
      </w:r>
      <w:r>
        <w:rPr>
          <w:rFonts w:ascii="Times New Roman" w:cs="Times New Roman" w:eastAsia="Times New Roman" w:hAnsi="Times New Roman"/>
          <w:sz w:val="22"/>
          <w:szCs w:val="22"/>
          <w:color w:val="auto"/>
        </w:rPr>
        <w:t>for fiscal 2026 is estimated to be 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60864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0"/>
          </w:cols>
          <w:pgMar w:left="1240" w:top="110" w:right="10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i w:val="1"/>
          <w:iCs w:val="1"/>
          <w:u w:val="single" w:color="auto"/>
          <w:color w:val="auto"/>
        </w:rPr>
        <w:t>Third Quarter Fiscal 2026</w:t>
      </w:r>
    </w:p>
    <w:p>
      <w:pPr>
        <w:spacing w:after="0" w:line="23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sales </w:t>
      </w:r>
      <w:r>
        <w:rPr>
          <w:rFonts w:ascii="Times New Roman" w:cs="Times New Roman" w:eastAsia="Times New Roman" w:hAnsi="Times New Roman"/>
          <w:sz w:val="22"/>
          <w:szCs w:val="22"/>
          <w:color w:val="auto"/>
        </w:rPr>
        <w:t>for the third quarter of fiscal 2026 are expected to be approximately $1.01 billion.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compares to net sales of $1.09 billion in last year’s third quarter.</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income </w:t>
      </w:r>
      <w:r>
        <w:rPr>
          <w:rFonts w:ascii="Times New Roman" w:cs="Times New Roman" w:eastAsia="Times New Roman" w:hAnsi="Times New Roman"/>
          <w:sz w:val="22"/>
          <w:szCs w:val="22"/>
          <w:color w:val="auto"/>
        </w:rPr>
        <w:t>for the third quarter of fiscal 2026 is expected to be between $62.0 million and $72.0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or diluted earnings per share between $1.43 and $1.63. This compares to net income of $114.8 million, or $2.55 per diluted share, in last year’s third quarter.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Reconciliations of GAAP net income to non-GAAP net income, GAAP net income per diluted share to non-GAAP net income per diluted share and GAAP net income to adjusted EBITDA are presented in tables accompanying the financial statements included in this release and provide useful information to evaluate the Company’s operational performance. A description of the amounts excluded on a non-GAAP basis are provided in conjunction with these tables. Non-GAAP net income, non-GAAP net income per diluted share and adjusted EBITDA should be evaluated in light of the Company’s financial statements prepared in accordance with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G-III Apparel Group, Ltd.</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G-III Apparel Group, Ltd. is a global fashion leader with expertise in design, sourcing, distribution, and marketing. The Company owns and licenses a portfolio of more than 30 preeminent brands, each differentiated by unique brand propositions, product categories, and consumer touchpoints. G-III owns ten iconic brands, including DKNY, Donna Karan, Karl Lagerfeld, and Vilebrequin, and licenses over 20 of the most sought-after names in global fashion, including Calvin Klein, Tommy Hilfiger, Levi’s, Nautica, Halston, Converse, BCBG, and major national sports leagues, among others.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Statements concerning G-III's business outlook or future economic performance, anticipated revenues, expenses or other financial items; product introductions and plans and objectives related thereto; and statements concerning assumptions made or expectations as to any future events, conditions, performance or other matters are "forward-looking statements" as that term is defined under the federal securities laws. Forward-looking statements are subject to risks, uncertainties and factors which include, but are not limited to, risks related to the reliance on licensed product, risks relating to G-III’s ability to increase revenues from sales of its other products, new acquired businesses or new license agreements as licenses for Calvin Klein and Tommy Hilfiger product expire on a staggered basis, reliance on foreign manufacturers, risks of doing business abroad, supply chain disruptions, risks related to acts of terrorism and the effects of war, the current economic and credit environment risks related to our indebtedness, the nature of the apparel industry, including changing customer demand and tastes, customer concentration, seasonality, risks of operating a retail business, risks related to G-III’s ability to reduce the losses incurred in its retail operations, customer acceptance of new products, the impact of competitive products and pricing, dependence on existing management, possible disruption from acquisitions, the impact on G-III’s business of the imposition of tariffs by the United States government and business and general economic conditions, including inflation and higher interest rates, as well as other risks detailed in G-III's filings with the Securities and Exchange Commission. G-III assumes no obligation to update the information in this release.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501650</wp:posOffset>
            </wp:positionV>
            <wp:extent cx="60864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0"/>
          </w:cols>
          <w:pgMar w:left="1240" w:top="110" w:right="10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G-III APPAREL GROUP, LTD.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GIII)</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CONSOLIDATED STATEMENTS OF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 except per share amounts</w:t>
      </w:r>
      <w:r>
        <w:rPr>
          <w:rFonts w:ascii="Times New Roman" w:cs="Times New Roman" w:eastAsia="Times New Roman" w:hAnsi="Times New Roman"/>
          <w:sz w:val="22"/>
          <w:szCs w:val="22"/>
          <w:b w:val="1"/>
          <w:bCs w:val="1"/>
          <w:color w:val="auto"/>
        </w:rPr>
        <w: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7"/>
          </w:tcPr>
          <w:p>
            <w:pPr>
              <w:ind w:left="200"/>
              <w:spacing w:after="0"/>
              <w:rPr>
                <w:sz w:val="20"/>
                <w:szCs w:val="20"/>
                <w:color w:val="auto"/>
              </w:rPr>
            </w:pPr>
            <w:r>
              <w:rPr>
                <w:rFonts w:ascii="Times New Roman" w:cs="Times New Roman" w:eastAsia="Times New Roman" w:hAnsi="Times New Roman"/>
                <w:sz w:val="17"/>
                <w:szCs w:val="17"/>
                <w:b w:val="1"/>
                <w:bCs w:val="1"/>
                <w:color w:val="auto"/>
              </w:rPr>
              <w:t>Six Months Ended July 31,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644,755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362,795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699,860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497,015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458,340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13,899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loss attributable to noncontrolling interests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per common share:</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44,219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45,483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44,795</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 (in thousands):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July 31,</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301,778</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812,675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639,756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2,690,981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280,295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1,708,521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4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80"/>
          </w:cols>
          <w:pgMar w:left="1240" w:top="108" w:right="1079" w:bottom="1440" w:gutter="0" w:footer="0" w:header="0"/>
        </w:sectPr>
      </w:pPr>
    </w:p>
    <w:bookmarkStart w:id="8" w:name="page9"/>
    <w:bookmarkEnd w:id="8"/>
    <w:p>
      <w:pPr>
        <w:jc w:val="center"/>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G-III APPAREL GROUP, LTD. AND SUBSIDIARIES RECONCILIATION OF GAAP NET INCOME TO NON-GAAP NET INCOME </w:t>
      </w:r>
      <w:r>
        <w:rPr>
          <w:rFonts w:ascii="Times New Roman" w:cs="Times New Roman" w:eastAsia="Times New Roman" w:hAnsi="Times New Roman"/>
          <w:sz w:val="22"/>
          <w:szCs w:val="22"/>
          <w:color w:val="auto"/>
        </w:rPr>
        <w:t>(In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72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4"/>
          </w:tcPr>
          <w:p>
            <w:pPr>
              <w:jc w:val="right"/>
              <w:ind w:right="873"/>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net income attributable to G-III Apparel</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Ltd.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from non-GAAP:</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One-time warehouse related severance expenses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forgiveness of liabilities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7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Non-GAAP net income attributable to G-III</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0" w:type="dxa"/>
            <w:vAlign w:val="bottom"/>
          </w:tcPr>
          <w:p>
            <w:pPr>
              <w:spacing w:after="0"/>
              <w:rPr>
                <w:sz w:val="1"/>
                <w:szCs w:val="1"/>
                <w:color w:val="auto"/>
              </w:rPr>
            </w:pPr>
          </w:p>
        </w:tc>
      </w:tr>
      <w:tr>
        <w:trPr>
          <w:trHeight w:val="2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Apparel Group, Ltd., as defined</w:t>
            </w:r>
          </w:p>
        </w:tc>
        <w:tc>
          <w:tcPr>
            <w:tcW w:w="1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Non-GAAP net income is a “non-GAAP financial measure” that excludes (i) in the second quarter of fiscal 2026, one-time severance expenses related to a closed warehouse and (ii) in the second quarter of fiscal 2025, the gain on the forgiveness of certain liabilities related to the acquisition of the minority interest of our DKNY business in China that we did not already own.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608647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p>
      <w:pPr>
        <w:sectPr>
          <w:pgSz w:w="11900" w:h="16838" w:orient="portrait"/>
          <w:cols w:equalWidth="0" w:num="1">
            <w:col w:w="9580"/>
          </w:cols>
          <w:pgMar w:left="1240" w:top="108" w:right="1079" w:bottom="1440" w:gutter="0" w:footer="0" w:header="0"/>
        </w:sectPr>
      </w:pPr>
    </w:p>
    <w:bookmarkStart w:id="9" w:name="page10"/>
    <w:bookmarkEnd w:id="9"/>
    <w:p>
      <w:pPr>
        <w:jc w:val="center"/>
        <w:ind w:right="20"/>
        <w:spacing w:after="0" w:line="248" w:lineRule="auto"/>
        <w:rPr>
          <w:sz w:val="20"/>
          <w:szCs w:val="20"/>
          <w:color w:val="auto"/>
        </w:rPr>
      </w:pPr>
      <w:r>
        <w:rPr>
          <w:rFonts w:ascii="Times New Roman" w:cs="Times New Roman" w:eastAsia="Times New Roman" w:hAnsi="Times New Roman"/>
          <w:sz w:val="22"/>
          <w:szCs w:val="22"/>
          <w:b w:val="1"/>
          <w:bCs w:val="1"/>
          <w:color w:val="auto"/>
        </w:rPr>
        <w:t>G-III APPAREL GROUP, LTD. AND SUBSIDIARIES RECONCILIATION OF GAAP NET INCOME PER SHARE TO NON-GAAP NET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72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4"/>
          </w:tcPr>
          <w:p>
            <w:pPr>
              <w:jc w:val="right"/>
              <w:ind w:right="873"/>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diluted net income attributable to G-III</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Apparel Group, Ltd.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from non-GAAP:</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One-time warehouse related severance expenses</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forgiveness of liabilities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7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Non-GAAP diluted net income attributable to G-</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III Apparel Group, Ltd. per common share, as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6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defined</w:t>
            </w:r>
          </w:p>
        </w:tc>
        <w:tc>
          <w:tcPr>
            <w:tcW w:w="1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Non-GAAP diluted net income per common share is a “non-GAAP financial measure” that excludes (i) in the second quarter of fiscal 2026, one-time severance expenses related to a closed warehouse and (ii) in the second quarter of fiscal 2025, the gain on the forgiveness of certain liabilities related to the acquisition of the minority interest of our DKNY business in China that we did not already own.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608647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p>
      <w:pPr>
        <w:sectPr>
          <w:pgSz w:w="11900" w:h="16838" w:orient="portrait"/>
          <w:cols w:equalWidth="0" w:num="1">
            <w:col w:w="9580"/>
          </w:cols>
          <w:pgMar w:left="1240" w:top="108" w:right="1079" w:bottom="1440" w:gutter="0" w:footer="0" w:header="0"/>
        </w:sectPr>
      </w:pPr>
    </w:p>
    <w:bookmarkStart w:id="10" w:name="page11"/>
    <w:bookmarkEnd w:id="10"/>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G-III APPAREL GROUP, LTD. AND SUBSIDIARIES RECONCILIATION OF NET INCOME TO ADJUSTED EBITDA </w:t>
      </w:r>
      <w:r>
        <w:rPr>
          <w:rFonts w:ascii="Times New Roman" w:cs="Times New Roman" w:eastAsia="Times New Roman" w:hAnsi="Times New Roman"/>
          <w:sz w:val="22"/>
          <w:szCs w:val="22"/>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Forecasted Twelve</w:t>
            </w:r>
          </w:p>
        </w:tc>
        <w:tc>
          <w:tcPr>
            <w:tcW w:w="120" w:type="dxa"/>
            <w:vAlign w:val="bottom"/>
          </w:tcPr>
          <w:p>
            <w:pPr>
              <w:spacing w:after="0"/>
              <w:rPr>
                <w:sz w:val="18"/>
                <w:szCs w:val="18"/>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Actual Twelve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Months Ending</w:t>
            </w:r>
          </w:p>
        </w:tc>
        <w:tc>
          <w:tcPr>
            <w:tcW w:w="120" w:type="dxa"/>
            <w:vAlign w:val="bottom"/>
          </w:tcPr>
          <w:p>
            <w:pPr>
              <w:spacing w:after="0"/>
              <w:rPr>
                <w:sz w:val="18"/>
                <w:szCs w:val="18"/>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120" w:type="dxa"/>
            <w:vAlign w:val="bottom"/>
          </w:tcPr>
          <w:p>
            <w:pPr>
              <w:spacing w:after="0"/>
              <w:rPr>
                <w:sz w:val="18"/>
                <w:szCs w:val="18"/>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color w:val="auto"/>
                <w:w w:val="74"/>
              </w:rPr>
              <w:t>(Unaudited)</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 Group,</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$ 112,000 - 122,000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One-time warehouse related severance expenses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forgiveness of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defined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198,000 - 208,000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325,921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which represents earnings before depreciation and amortization, interest and financing charges, net and income tax expense and excludes in both fiscal 2026 and 2025, (i) one-time severance expenses related to a closed warehouse and in fiscal 2025, (ii) asset impairments and (iii) the gain on the forgiveness of certain liabilities related to the acquisition of the minority interest of our DKNY business in China that we did not already own. Adjusted EBITDA is being presented as a supplemental disclosure because management believes that it is a common measure of operating performance in the apparel industry. Adjusted EBITDA should not be construed as an alternative to net income, as an indicator of the Company’s operating performance, or as an alternative to cash flows from operating activities as a measure of the Company’s liquidity, as determined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608647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p>
      <w:pPr>
        <w:sectPr>
          <w:pgSz w:w="11900" w:h="16838" w:orient="portrait"/>
          <w:cols w:equalWidth="0" w:num="1">
            <w:col w:w="9580"/>
          </w:cols>
          <w:pgMar w:left="1240" w:top="108" w:right="10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G-III APPAREL GROUP, LTD.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FORECASTED AND ACTUAL GAAP NET INCOME TO FORECASTED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AND ACTUAL NON-GAAP NET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Forecasted Three</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Actual Three</w:t>
            </w:r>
          </w:p>
        </w:tc>
        <w:tc>
          <w:tcPr>
            <w:tcW w:w="15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Forecasted Twelve</w:t>
            </w:r>
          </w:p>
        </w:tc>
        <w:tc>
          <w:tcPr>
            <w:tcW w:w="140" w:type="dxa"/>
            <w:vAlign w:val="bottom"/>
          </w:tcPr>
          <w:p>
            <w:pPr>
              <w:spacing w:after="0"/>
              <w:rPr>
                <w:sz w:val="16"/>
                <w:szCs w:val="16"/>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5"/>
                <w:szCs w:val="15"/>
                <w:b w:val="1"/>
                <w:bCs w:val="1"/>
                <w:color w:val="auto"/>
                <w:w w:val="99"/>
              </w:rPr>
              <w:t>Actual Twelve</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Months Ending</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Months Ended</w:t>
            </w:r>
          </w:p>
        </w:tc>
        <w:tc>
          <w:tcPr>
            <w:tcW w:w="15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Months Ending</w:t>
            </w:r>
          </w:p>
        </w:tc>
        <w:tc>
          <w:tcPr>
            <w:tcW w:w="140" w:type="dxa"/>
            <w:vAlign w:val="bottom"/>
          </w:tcPr>
          <w:p>
            <w:pPr>
              <w:spacing w:after="0"/>
              <w:rPr>
                <w:sz w:val="19"/>
                <w:szCs w:val="19"/>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5"/>
                <w:szCs w:val="15"/>
                <w:b w:val="1"/>
                <w:bCs w:val="1"/>
                <w:color w:val="auto"/>
              </w:rPr>
              <w:t>Months Ended</w:t>
            </w:r>
          </w:p>
        </w:tc>
        <w:tc>
          <w:tcPr>
            <w:tcW w:w="0" w:type="dxa"/>
            <w:vAlign w:val="bottom"/>
          </w:tcPr>
          <w:p>
            <w:pPr>
              <w:spacing w:after="0"/>
              <w:rPr>
                <w:sz w:val="1"/>
                <w:szCs w:val="1"/>
                <w:color w:val="auto"/>
              </w:rPr>
            </w:pPr>
          </w:p>
        </w:tc>
      </w:tr>
      <w:tr>
        <w:trPr>
          <w:trHeight w:val="197"/>
        </w:trPr>
        <w:tc>
          <w:tcPr>
            <w:tcW w:w="40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October 31, 2025</w:t>
            </w:r>
          </w:p>
        </w:tc>
        <w:tc>
          <w:tcPr>
            <w:tcW w:w="80" w:type="dxa"/>
            <w:vAlign w:val="bottom"/>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October 31, 2024</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January 31, 2026</w:t>
            </w:r>
          </w:p>
        </w:tc>
        <w:tc>
          <w:tcPr>
            <w:tcW w:w="40" w:type="dxa"/>
            <w:vAlign w:val="bottom"/>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January 31, 2025</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3"/>
          </w:tcPr>
          <w:p>
            <w:pPr>
              <w:jc w:val="right"/>
              <w:ind w:right="1014"/>
              <w:spacing w:after="0"/>
              <w:rPr>
                <w:sz w:val="20"/>
                <w:szCs w:val="20"/>
                <w:color w:val="auto"/>
              </w:rPr>
            </w:pPr>
            <w:r>
              <w:rPr>
                <w:rFonts w:ascii="Times New Roman" w:cs="Times New Roman" w:eastAsia="Times New Roman" w:hAnsi="Times New Roman"/>
                <w:sz w:val="15"/>
                <w:szCs w:val="15"/>
                <w:color w:val="auto"/>
              </w:rPr>
              <w:t>(Unaudited)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$ 62,000 - 72,000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$ 112,000 - 122,000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from non-GAAP:</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One-time warehouse related severance expenses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impairments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forgiveness of liabilities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Non-GAAP net income attributable to G-III Apparel</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$ 62,000 - 72,000</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116,286</w:t>
            </w:r>
          </w:p>
        </w:tc>
        <w:tc>
          <w:tcPr>
            <w:tcW w:w="1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$ 113,000 - 123,000</w:t>
            </w:r>
          </w:p>
        </w:tc>
        <w:tc>
          <w:tcPr>
            <w:tcW w:w="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203,637</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Group, Ltd., as defined</w:t>
            </w:r>
          </w:p>
        </w:tc>
        <w:tc>
          <w:tcPr>
            <w:tcW w:w="13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Non-GAAP net income is a “non-GAAP financial measure” that excludes in both fiscal 2026 and 2025, (i) one-time severance expenses related to a closed warehouse and in fiscal 2025, (ii) asset impairments, (iii) the write-off of deferred financing costs related to the redemption of the Notes and (iv) the gain on the forgiveness of certain liabilities related to the acquisition of the minority interest of our DKNY business in China that we did not already own. The income tax impact of non-GAAP adjustments is calculated using the effective tax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608647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p>
      <w:pPr>
        <w:sectPr>
          <w:pgSz w:w="11900" w:h="16838" w:orient="portrait"/>
          <w:cols w:equalWidth="0" w:num="1">
            <w:col w:w="9580"/>
          </w:cols>
          <w:pgMar w:left="1240" w:top="108" w:right="1079" w:bottom="1440" w:gutter="0" w:footer="0" w:header="0"/>
        </w:sectPr>
      </w:pPr>
    </w:p>
    <w:bookmarkStart w:id="12" w:name="page13"/>
    <w:bookmarkEnd w:id="12"/>
    <w:p>
      <w:pPr>
        <w:jc w:val="center"/>
        <w:ind w:right="97"/>
        <w:spacing w:after="0" w:line="246" w:lineRule="auto"/>
        <w:rPr>
          <w:sz w:val="20"/>
          <w:szCs w:val="20"/>
          <w:color w:val="auto"/>
        </w:rPr>
      </w:pPr>
      <w:r>
        <w:rPr>
          <w:rFonts w:ascii="Times New Roman" w:cs="Times New Roman" w:eastAsia="Times New Roman" w:hAnsi="Times New Roman"/>
          <w:sz w:val="22"/>
          <w:szCs w:val="22"/>
          <w:b w:val="1"/>
          <w:bCs w:val="1"/>
          <w:color w:val="auto"/>
        </w:rPr>
        <w:t>G-III APPAREL GROUP, LTD. AND SUBSIDIARIES RECONCILIATION OF FORECASTED AND ACTUAL GAAP NET INCOME PER SHARE TO FORECASTED AND ACTUAL NON-GAAP NET INCOME PER SHARE</w:t>
      </w:r>
    </w:p>
    <w:p>
      <w:pPr>
        <w:spacing w:after="0" w:line="245" w:lineRule="exact"/>
        <w:rPr>
          <w:sz w:val="20"/>
          <w:szCs w:val="20"/>
          <w:color w:val="auto"/>
        </w:rPr>
      </w:pPr>
    </w:p>
    <w:tbl>
      <w:tblPr>
        <w:tblLayout w:type="fixed"/>
        <w:tblInd w:w="3"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Forecasted Three</w:t>
            </w:r>
          </w:p>
        </w:tc>
        <w:tc>
          <w:tcPr>
            <w:tcW w:w="10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Actual Three</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Forecasted Twelve</w:t>
            </w:r>
          </w:p>
        </w:tc>
        <w:tc>
          <w:tcPr>
            <w:tcW w:w="120" w:type="dxa"/>
            <w:vAlign w:val="bottom"/>
          </w:tcPr>
          <w:p>
            <w:pPr>
              <w:spacing w:after="0"/>
              <w:rPr>
                <w:sz w:val="16"/>
                <w:szCs w:val="16"/>
                <w:color w:val="auto"/>
              </w:rPr>
            </w:pPr>
          </w:p>
        </w:tc>
        <w:tc>
          <w:tcPr>
            <w:tcW w:w="1260" w:type="dxa"/>
            <w:vAlign w:val="bottom"/>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w w:val="99"/>
              </w:rPr>
              <w:t>Actual Twelve</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Months Ending</w:t>
            </w:r>
          </w:p>
        </w:tc>
        <w:tc>
          <w:tcPr>
            <w:tcW w:w="10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Months Ending</w:t>
            </w:r>
          </w:p>
        </w:tc>
        <w:tc>
          <w:tcPr>
            <w:tcW w:w="120" w:type="dxa"/>
            <w:vAlign w:val="bottom"/>
          </w:tcPr>
          <w:p>
            <w:pPr>
              <w:spacing w:after="0"/>
              <w:rPr>
                <w:sz w:val="17"/>
                <w:szCs w:val="17"/>
                <w:color w:val="auto"/>
              </w:rPr>
            </w:pPr>
          </w:p>
        </w:tc>
        <w:tc>
          <w:tcPr>
            <w:tcW w:w="1260" w:type="dxa"/>
            <w:vAlign w:val="bottom"/>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Months Ended</w:t>
            </w:r>
          </w:p>
        </w:tc>
        <w:tc>
          <w:tcPr>
            <w:tcW w:w="0" w:type="dxa"/>
            <w:vAlign w:val="bottom"/>
          </w:tcPr>
          <w:p>
            <w:pPr>
              <w:spacing w:after="0"/>
              <w:rPr>
                <w:sz w:val="1"/>
                <w:szCs w:val="1"/>
                <w:color w:val="auto"/>
              </w:rPr>
            </w:pPr>
          </w:p>
        </w:tc>
      </w:tr>
      <w:tr>
        <w:trPr>
          <w:trHeight w:val="224"/>
        </w:trPr>
        <w:tc>
          <w:tcPr>
            <w:tcW w:w="3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October 31, 2025</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October 31, 2024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January 31, 2026</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January 31, 2025</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953"/>
              <w:spacing w:after="0"/>
              <w:rPr>
                <w:sz w:val="20"/>
                <w:szCs w:val="20"/>
                <w:color w:val="auto"/>
              </w:rPr>
            </w:pPr>
            <w:r>
              <w:rPr>
                <w:rFonts w:ascii="Times New Roman" w:cs="Times New Roman" w:eastAsia="Times New Roman" w:hAnsi="Times New Roman"/>
                <w:sz w:val="15"/>
                <w:szCs w:val="15"/>
                <w:color w:val="auto"/>
              </w:rPr>
              <w:t>(Unaudited)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diluted net income attributable to G-III</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Apparel Group, Ltd.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1.43 - 1.63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2.53 - 2.73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from non-GAAP:</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One-time warehouse related severance expenses</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impairments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forgiveness of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Non-GAAP diluted net income attributable to G-</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III Apparel Group, Ltd. per common share, as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1.43 - 1.63</w:t>
            </w:r>
          </w:p>
        </w:tc>
        <w:tc>
          <w:tcPr>
            <w:tcW w:w="16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2.55 - 2.75</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defined</w:t>
            </w:r>
          </w:p>
        </w:tc>
        <w:tc>
          <w:tcPr>
            <w:tcW w:w="1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Non-GAAP diluted net income per common share is a “non-GAAP financial measure” that excludes in both fiscal 2026 and 2025,</w:t>
      </w:r>
    </w:p>
    <w:p>
      <w:pPr>
        <w:spacing w:after="0" w:line="27" w:lineRule="exact"/>
        <w:rPr>
          <w:sz w:val="20"/>
          <w:szCs w:val="20"/>
          <w:color w:val="auto"/>
        </w:rPr>
      </w:pPr>
    </w:p>
    <w:p>
      <w:pPr>
        <w:jc w:val="both"/>
        <w:ind w:left="3" w:right="100" w:hanging="3"/>
        <w:spacing w:after="0" w:line="251"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severance expenses related to a closed warehouse and in fiscal 2025, (ii) asset impairments, (iii) the write-off of deferred financing costs related to the redemption of the Notes and (iv) the gain on the forgiveness of certain liabilities related to the acquisition of the minority interest of our DKNY business in China that we did not already own. The income tax impact of non-GAAP adjustments is calculated using the effective tax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G-III Apparel Group, Ltd.</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Priya Trivedi</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SVP of Investor Relations and Treasurer</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(646) 473-5228</w:t>
      </w:r>
    </w:p>
    <w:p>
      <w:pPr>
        <w:spacing w:after="0" w:line="9"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502920</wp:posOffset>
            </wp:positionV>
            <wp:extent cx="608647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6475" cy="26035"/>
                    </a:xfrm>
                    <a:prstGeom prst="rect">
                      <a:avLst/>
                    </a:prstGeom>
                    <a:noFill/>
                  </pic:spPr>
                </pic:pic>
              </a:graphicData>
            </a:graphic>
          </wp:anchor>
        </w:drawing>
      </w:r>
    </w:p>
    <w:sectPr>
      <w:pgSz w:w="11900" w:h="16838" w:orient="portrait"/>
      <w:cols w:equalWidth="0" w:num="1">
        <w:col w:w="9683"/>
      </w:cols>
      <w:pgMar w:left="1237" w:top="108"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2025-09-04T06:33:56Z</dcterms:created>
  <dcterms:modified xsi:type="dcterms:W3CDTF">2025-09-04T06:33:56Z</dcterms:modified>
</cp:coreProperties>
</file>