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2" w:space="1" w:color="000000"/>
        </w:pBdr>
        <w:bidi w:val="0"/>
        <w:spacing w:before="0" w:after="240"/>
        <w:ind w:left="0" w:right="0" w:hanging="0"/>
        <w:jc w:val="center"/>
        <w:rPr>
          <w:bdr w:val="single" w:sz="24" w:space="1" w:color="000000"/>
        </w:rPr>
      </w:pPr>
      <w:bookmarkStart w:id="0" w:name="giii-20260818x8k.htm"/>
      <w:bookmarkStart w:id="1" w:name="ksgiii20260818x8k"/>
      <w:bookmarkEnd w:id="0"/>
      <w:bookmarkEnd w:id="1"/>
      <w:r>
        <w:rPr>
          <w:bdr w:val="single" w:sz="24" w:space="1" w:color="000000"/>
        </w:rPr>
        <w:t>​</w:t>
      </w:r>
    </w:p>
    <w:p>
      <w:pPr>
        <w:pStyle w:val="TextBody"/>
        <w:pBdr/>
        <w:bidi w:val="0"/>
        <w:spacing w:before="0" w:after="0"/>
        <w:ind w:left="0" w:right="0" w:hanging="0"/>
        <w:jc w:val="center"/>
        <w:rPr>
          <w:rFonts w:ascii="Times New Roman;Times;serif" w:hAnsi="Times New Roman;Times;serif"/>
          <w:b/>
          <w:sz w:val="20"/>
        </w:rPr>
      </w:pPr>
      <w:bookmarkStart w:id="2" w:name="_37ea2aeb_1647_486b_9ea3_c94fe127af76"/>
      <w:bookmarkEnd w:id="2"/>
      <w:r>
        <w:rPr>
          <w:rFonts w:ascii="Times New Roman;Times;serif" w:hAnsi="Times New Roman;Times;serif"/>
          <w:b/>
          <w:sz w:val="20"/>
        </w:rPr>
        <w:t>UNITED STATES</w:t>
        <w:br/>
        <w:t>SECURITIES AND EXCHANGE COMMISSION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2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CURRENT REPORT</w:t>
        <w:br/>
        <w:br/>
        <w:t>PURSUANT TO SECTION 13 OR 15(d) OF THE</w:t>
        <w:br/>
        <w:t>SECURITIES EXCHANGE ACT OF 1934</w:t>
      </w:r>
    </w:p>
    <w:p>
      <w:pPr>
        <w:pStyle w:val="TextBody"/>
        <w:bidi w:val="0"/>
        <w:spacing w:before="0" w:after="240"/>
        <w:ind w:left="0" w:right="0" w:hanging="0"/>
        <w:jc w:val="center"/>
        <w:rPr>
          <w:rFonts w:ascii="Times New Roman;Times;serif" w:hAnsi="Times New Roman;Times;serif"/>
          <w:b w:val="false"/>
          <w:sz w:val="20"/>
        </w:rPr>
      </w:pPr>
      <w:r>
        <w:rPr>
          <w:rFonts w:ascii="Times New Roman;Times;serif" w:hAnsi="Times New Roman;Times;serif"/>
          <w:b w:val="false"/>
          <w:sz w:val="20"/>
        </w:rPr>
        <w:t>Date of Report (Date of earliest event reported): August 20, 2026 (August 18, 2026)</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G-III APPAREL GROUP, LTD.</w:t>
      </w:r>
    </w:p>
    <w:p>
      <w:pPr>
        <w:pStyle w:val="TextBody"/>
        <w:bidi w:val="0"/>
        <w:spacing w:before="0" w:after="240"/>
        <w:ind w:left="0" w:right="0" w:hanging="0"/>
        <w:jc w:val="center"/>
        <w:rPr>
          <w:rFonts w:ascii="Times New Roman;Times;serif" w:hAnsi="Times New Roman;Times;serif"/>
          <w:b w:val="false"/>
          <w:sz w:val="20"/>
        </w:rPr>
      </w:pPr>
      <w:r>
        <w:rPr>
          <w:rFonts w:ascii="Times New Roman;Times;serif" w:hAnsi="Times New Roman;Times;serif"/>
          <w:b w:val="false"/>
          <w:sz w:val="20"/>
        </w:rPr>
        <w:t>(Exact Name of Registrant as Specified in its Charter)</w:t>
      </w:r>
    </w:p>
    <w:p>
      <w:pPr>
        <w:pStyle w:val="TextBody"/>
        <w:bidi w:val="0"/>
        <w:spacing w:before="0" w:after="240"/>
        <w:ind w:left="0" w:right="0" w:hanging="0"/>
        <w:jc w:val="center"/>
        <w:rPr/>
      </w:pPr>
      <w:r>
        <w:rPr/>
        <w:t>​</w:t>
      </w:r>
    </w:p>
    <w:tbl>
      <w:tblPr>
        <w:tblW w:w="6242" w:type="dxa"/>
        <w:jc w:val="left"/>
        <w:tblInd w:w="0" w:type="dxa"/>
        <w:tblLayout w:type="fixed"/>
        <w:tblCellMar>
          <w:top w:w="0" w:type="dxa"/>
          <w:left w:w="0" w:type="dxa"/>
          <w:bottom w:w="0" w:type="dxa"/>
          <w:right w:w="0" w:type="dxa"/>
        </w:tblCellMar>
      </w:tblPr>
      <w:tblGrid>
        <w:gridCol w:w="2296"/>
        <w:gridCol w:w="1136"/>
        <w:gridCol w:w="1159"/>
        <w:gridCol w:w="1651"/>
      </w:tblGrid>
      <w:tr>
        <w:trPr/>
        <w:tc>
          <w:tcPr>
            <w:tcW w:w="2296" w:type="dxa"/>
            <w:tcBorders/>
            <w:vAlign w:val="center"/>
          </w:tcPr>
          <w:p>
            <w:pPr>
              <w:pStyle w:val="TableContents"/>
              <w:bidi w:val="0"/>
              <w:spacing w:before="0" w:after="0"/>
              <w:ind w:left="0" w:right="0" w:hanging="0"/>
              <w:jc w:val="left"/>
              <w:rPr/>
            </w:pPr>
            <w:r>
              <w:rPr/>
              <w:t>​</w:t>
            </w:r>
          </w:p>
        </w:tc>
        <w:tc>
          <w:tcPr>
            <w:tcW w:w="2295" w:type="dxa"/>
            <w:gridSpan w:val="2"/>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Delaware</w:t>
              <w:br/>
            </w:r>
            <w:r>
              <w:rPr>
                <w:rFonts w:ascii="Times New Roman;Times;serif" w:hAnsi="Times New Roman;Times;serif"/>
                <w:b w:val="false"/>
                <w:sz w:val="20"/>
              </w:rPr>
              <w:t>(State or Other Jurisdiction</w:t>
              <w:br/>
              <w:t>of Incorporation)</w:t>
            </w:r>
          </w:p>
        </w:tc>
        <w:tc>
          <w:tcPr>
            <w:tcW w:w="2295" w:type="dxa"/>
            <w:gridSpan w:val="2"/>
            <w:tcBorders/>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0-18183</w:t>
              <w:br/>
            </w:r>
            <w:r>
              <w:rPr>
                <w:rFonts w:ascii="Times New Roman;Times;serif" w:hAnsi="Times New Roman;Times;serif"/>
                <w:b w:val="false"/>
                <w:sz w:val="20"/>
              </w:rPr>
              <w:t>(Commission File Number)</w:t>
            </w:r>
          </w:p>
        </w:tc>
        <w:tc>
          <w:tcPr>
            <w:tcW w:w="1651" w:type="dxa"/>
            <w:tcBorders/>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41-1590959</w:t>
              <w:br/>
            </w:r>
            <w:r>
              <w:rPr>
                <w:rFonts w:ascii="Times New Roman;Times;serif" w:hAnsi="Times New Roman;Times;serif"/>
                <w:b w:val="false"/>
                <w:sz w:val="20"/>
              </w:rPr>
              <w:t>(IRS Employer</w:t>
              <w:br/>
              <w:t>Identification No.)</w:t>
            </w:r>
          </w:p>
        </w:tc>
      </w:tr>
      <w:tr>
        <w:trPr/>
        <w:tc>
          <w:tcPr>
            <w:tcW w:w="3432" w:type="dxa"/>
            <w:gridSpan w:val="2"/>
            <w:tcBorders/>
            <w:vAlign w:val="center"/>
          </w:tcPr>
          <w:p>
            <w:pPr>
              <w:pStyle w:val="TableContents"/>
              <w:bidi w:val="0"/>
              <w:spacing w:before="0" w:after="0"/>
              <w:ind w:left="0" w:right="0" w:hanging="0"/>
              <w:jc w:val="center"/>
              <w:rPr/>
            </w:pPr>
            <w:r>
              <w:rPr/>
              <w:t>​</w:t>
            </w:r>
            <w:r>
              <w:rPr>
                <w:rFonts w:ascii="Times New Roman;Times;serif" w:hAnsi="Times New Roman;Times;serif"/>
                <w:b/>
                <w:sz w:val="20"/>
              </w:rPr>
              <w:br/>
            </w:r>
            <w:r>
              <w:rPr>
                <w:rFonts w:ascii="Times New Roman;Times;serif" w:hAnsi="Times New Roman;Times;serif"/>
                <w:b w:val="false"/>
                <w:sz w:val="20"/>
              </w:rPr>
              <w:t>(Address of principal executive offices)</w:t>
            </w:r>
          </w:p>
          <w:p>
            <w:pPr>
              <w:pStyle w:val="TableContents"/>
              <w:bidi w:val="0"/>
              <w:spacing w:before="0" w:after="0"/>
              <w:ind w:left="0" w:right="0" w:hanging="0"/>
              <w:jc w:val="left"/>
              <w:rPr/>
            </w:pPr>
            <w:r>
              <w:rPr/>
              <w:t>​</w:t>
            </w:r>
          </w:p>
        </w:tc>
        <w:tc>
          <w:tcPr>
            <w:tcW w:w="2810" w:type="dxa"/>
            <w:gridSpan w:val="2"/>
            <w:tcBorders/>
            <w:vAlign w:val="center"/>
          </w:tcPr>
          <w:p>
            <w:pPr>
              <w:pStyle w:val="TableContents"/>
              <w:bidi w:val="0"/>
              <w:spacing w:before="0" w:after="0"/>
              <w:ind w:left="0" w:right="0" w:hanging="0"/>
              <w:jc w:val="left"/>
              <w:rPr/>
            </w:pPr>
            <w:r>
              <w:rPr/>
              <w:t>​</w:t>
            </w:r>
          </w:p>
        </w:tc>
      </w:tr>
      <w:tr>
        <w:trPr/>
        <w:tc>
          <w:tcPr>
            <w:tcW w:w="343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512 Seventh Avenue</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br/>
            </w:r>
            <w:r>
              <w:rPr>
                <w:rFonts w:ascii="Times New Roman;Times;serif" w:hAnsi="Times New Roman;Times;serif"/>
                <w:b w:val="false"/>
                <w:sz w:val="20"/>
              </w:rPr>
              <w:t>(Address of Principal Executive Offices)</w:t>
            </w:r>
          </w:p>
        </w:tc>
        <w:tc>
          <w:tcPr>
            <w:tcW w:w="2810" w:type="dxa"/>
            <w:gridSpan w:val="2"/>
            <w:tcBorders/>
            <w:vAlign w:val="center"/>
          </w:tcPr>
          <w:p>
            <w:pPr>
              <w:pStyle w:val="TableContents"/>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10018</w:t>
              <w:br/>
            </w:r>
            <w:r>
              <w:rPr>
                <w:rFonts w:ascii="Times New Roman;Times;serif" w:hAnsi="Times New Roman;Times;serif"/>
                <w:b w:val="false"/>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(212) 403-0500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val="false"/>
          <w:sz w:val="20"/>
        </w:rPr>
        <w:t>(Registrant’s telephone number, including area code)</w:t>
      </w:r>
      <w:r>
        <w:rPr>
          <w:rFonts w:ascii="Times New Roman;Times;serif" w:hAnsi="Times New Roman;Times;serif"/>
          <w:b/>
          <w:sz w:val="20"/>
        </w:rPr>
        <w:br/>
        <w:br/>
        <w:t>Not Applicable</w:t>
        <w:br/>
      </w:r>
      <w:r>
        <w:rPr>
          <w:rFonts w:ascii="Times New Roman;Times;serif" w:hAnsi="Times New Roman;Times;serif"/>
          <w:b w:val="false"/>
          <w:sz w:val="20"/>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Check the appropriate box below if the Form 8-K filing is intended to simultaneously satisfy the filing obligation of the registrant under any of the following provisions (see</w:t>
      </w:r>
      <w:r>
        <w:rPr>
          <w:rFonts w:ascii="Times New Roman;Times;serif" w:hAnsi="Times New Roman;Times;serif"/>
          <w:b/>
          <w:sz w:val="20"/>
        </w:rPr>
        <w:t xml:space="preserve"> </w:t>
      </w:r>
      <w:r>
        <w:rPr>
          <w:rFonts w:ascii="Times New Roman;Times;serif" w:hAnsi="Times New Roman;Times;serif"/>
          <w:b w:val="false"/>
          <w:sz w:val="20"/>
        </w:rPr>
        <w:t>General Instruction A.2 below):</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240"/>
              <w:jc w:val="left"/>
              <w:rPr/>
            </w:pPr>
            <w:r>
              <w:rPr/>
              <w:t>☐</w:t>
            </w:r>
          </w:p>
        </w:tc>
        <w:tc>
          <w:tcPr>
            <w:tcW w:w="741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240"/>
              <w:jc w:val="left"/>
              <w:rPr/>
            </w:pPr>
            <w:r>
              <w:rPr/>
              <w:t>☐</w:t>
            </w:r>
          </w:p>
        </w:tc>
        <w:tc>
          <w:tcPr>
            <w:tcW w:w="744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240"/>
              <w:jc w:val="left"/>
              <w:rPr/>
            </w:pPr>
            <w:r>
              <w:rPr/>
              <w:t>☐</w:t>
            </w:r>
          </w:p>
        </w:tc>
        <w:tc>
          <w:tcPr>
            <w:tcW w:w="918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240"/>
              <w:jc w:val="left"/>
              <w:rPr/>
            </w:pPr>
            <w:r>
              <w:rPr/>
              <w:t>☐</w:t>
            </w:r>
          </w:p>
        </w:tc>
        <w:tc>
          <w:tcPr>
            <w:tcW w:w="9121" w:type="dxa"/>
            <w:tcBorders/>
            <w:vAlign w:val="center"/>
          </w:tcPr>
          <w:p>
            <w:pPr>
              <w:pStyle w:val="TableContents"/>
              <w:bidi w:val="0"/>
              <w:spacing w:before="0" w:after="240"/>
              <w:jc w:val="left"/>
              <w:rPr>
                <w:rFonts w:ascii="Times New Roman;Times;serif" w:hAnsi="Times New Roman;Times;serif"/>
                <w:b w:val="false"/>
                <w:sz w:val="20"/>
              </w:rPr>
            </w:pPr>
            <w:r>
              <w:rPr>
                <w:rFonts w:ascii="Times New Roman;Times;serif" w:hAnsi="Times New Roman;Times;serif"/>
                <w:b w:val="false"/>
                <w:sz w:val="20"/>
              </w:rPr>
              <w:t>Pre-commencement communications pursuant to Rule 13e-4(c) under the Exchange Act (17 CFR 240.13e-4(c))</w:t>
            </w:r>
          </w:p>
        </w:tc>
      </w:tr>
    </w:tbl>
    <w:p>
      <w:pPr>
        <w:pStyle w:val="TextBody"/>
        <w:bidi w:val="0"/>
        <w:spacing w:before="12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3" w:name="Tc_qNJkFPsfr0OqZAiTXIG_6Q_1_2"/>
      <w:bookmarkStart w:id="4" w:name="Tc_bxSdX5Ky-0GtYJho-3TQ1Q_1_1"/>
      <w:bookmarkStart w:id="5" w:name="Tc_8sCbkkz00kqb0ynuzKjloA_1_0"/>
      <w:bookmarkStart w:id="6" w:name="_35c73e73_d4c0_4163_9aa9_a67c27541a48"/>
      <w:bookmarkStart w:id="7" w:name="Tc_qNJkFPsfr0OqZAiTXIG_6Q_1_2"/>
      <w:bookmarkStart w:id="8" w:name="Tc_bxSdX5Ky-0GtYJho-3TQ1Q_1_1"/>
      <w:bookmarkStart w:id="9" w:name="Tc_8sCbkkz00kqb0ynuzKjloA_1_0"/>
      <w:bookmarkStart w:id="10" w:name="_35c73e73_d4c0_4163_9aa9_a67c27541a48"/>
      <w:bookmarkEnd w:id="7"/>
      <w:bookmarkEnd w:id="8"/>
      <w:bookmarkEnd w:id="9"/>
      <w:bookmarkEnd w:id="10"/>
    </w:p>
    <w:tbl>
      <w:tblPr>
        <w:tblW w:w="8823" w:type="dxa"/>
        <w:jc w:val="left"/>
        <w:tblInd w:w="0" w:type="dxa"/>
        <w:tblLayout w:type="fixed"/>
        <w:tblCellMar>
          <w:top w:w="0" w:type="dxa"/>
          <w:left w:w="0" w:type="dxa"/>
          <w:bottom w:w="0" w:type="dxa"/>
          <w:right w:w="0" w:type="dxa"/>
        </w:tblCellMar>
      </w:tblPr>
      <w:tblGrid>
        <w:gridCol w:w="3496"/>
        <w:gridCol w:w="1621"/>
        <w:gridCol w:w="370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Common Stock, $0.01 par value per share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GIII</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20"/>
              </w:rPr>
              <w:t>The Nasdaq Stock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12" w:space="1" w:color="000000"/>
        </w:pBdr>
        <w:bidi w:val="0"/>
        <w:spacing w:before="0" w:after="24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120"/>
        <w:ind w:left="0" w:right="0" w:firstLine="360"/>
        <w:jc w:val="both"/>
        <w:rPr/>
      </w:pPr>
      <w:r>
        <w:rPr/>
        <w:t>​</w:t>
      </w:r>
    </w:p>
    <w:p>
      <w:pPr>
        <w:pStyle w:val="TextBody"/>
        <w:bidi w:val="0"/>
        <w:spacing w:before="0" w:after="0"/>
        <w:ind w:left="0" w:right="0" w:hanging="0"/>
        <w:jc w:val="left"/>
        <w:rPr>
          <w:rFonts w:ascii="Times New Roman Bold" w:hAnsi="Times New Roman Bold"/>
          <w:b/>
          <w:sz w:val="20"/>
        </w:rPr>
      </w:pPr>
      <w:r>
        <w:rPr>
          <w:rFonts w:ascii="Times New Roman Bold" w:hAnsi="Times New Roman Bold"/>
          <w:b/>
          <w:sz w:val="20"/>
        </w:rPr>
        <w:t>Item 8.01 OTHER EVENTS.</w:t>
      </w:r>
    </w:p>
    <w:p>
      <w:pPr>
        <w:pStyle w:val="TextBody"/>
        <w:pBdr/>
        <w:bidi w:val="0"/>
        <w:spacing w:before="0" w:after="0"/>
        <w:ind w:left="0" w:right="0" w:hanging="144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August 18, 2026, the Board of Directors of the Company declared a quarterly cash dividend of $0.10 per share in respect of the Company’s common stock (the “Dividend”). The Dividend will be paid on September 29, 2026 to all stockholders of record of issued and outstanding shares of the Company’s common stock as of September 15, 2026.  </w:t>
      </w:r>
    </w:p>
    <w:p>
      <w:pPr>
        <w:pStyle w:val="TextBody"/>
        <w:bidi w:val="0"/>
        <w:spacing w:before="0" w:after="120"/>
        <w:ind w:left="0" w:right="0" w:firstLine="360"/>
        <w:jc w:val="both"/>
        <w:rPr/>
      </w:pPr>
      <w:r>
        <w:rPr/>
        <w:t>​</w:t>
      </w:r>
    </w:p>
    <w:p>
      <w:pPr>
        <w:pStyle w:val="TextBody"/>
        <w:bidi w:val="0"/>
        <w:spacing w:before="0" w:after="120"/>
        <w:ind w:left="0" w:right="0" w:hanging="0"/>
        <w:jc w:val="left"/>
        <w:rPr>
          <w:rFonts w:ascii="Times New Roman Bold" w:hAnsi="Times New Roman Bold"/>
          <w:b/>
          <w:sz w:val="20"/>
        </w:rPr>
      </w:pPr>
      <w:r>
        <w:rPr>
          <w:rFonts w:ascii="Times New Roman Bold" w:hAnsi="Times New Roman Bold"/>
          <w:b/>
          <w:sz w:val="20"/>
        </w:rPr>
        <w:t>Item 9.01 Financial Statements and Exhibits.</w:t>
      </w:r>
    </w:p>
    <w:tbl>
      <w:tblPr>
        <w:tblW w:w="1341" w:type="dxa"/>
        <w:jc w:val="left"/>
        <w:tblInd w:w="0" w:type="dxa"/>
        <w:tblLayout w:type="fixed"/>
        <w:tblCellMar>
          <w:top w:w="28" w:type="dxa"/>
          <w:left w:w="28" w:type="dxa"/>
          <w:bottom w:w="28" w:type="dxa"/>
          <w:right w:w="28" w:type="dxa"/>
        </w:tblCellMar>
      </w:tblPr>
      <w:tblGrid>
        <w:gridCol w:w="124"/>
        <w:gridCol w:w="331"/>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828" w:right="0" w:hanging="0"/>
        <w:jc w:val="left"/>
        <w:rPr/>
      </w:pPr>
      <w:r>
        <w:rPr/>
        <w:t>​</w:t>
      </w:r>
    </w:p>
    <w:tbl>
      <w:tblPr>
        <w:tblW w:w="9726" w:type="dxa"/>
        <w:jc w:val="left"/>
        <w:tblInd w:w="0" w:type="dxa"/>
        <w:tblLayout w:type="fixed"/>
        <w:tblCellMar>
          <w:top w:w="0" w:type="dxa"/>
          <w:left w:w="0" w:type="dxa"/>
          <w:bottom w:w="0" w:type="dxa"/>
          <w:right w:w="0" w:type="dxa"/>
        </w:tblCellMar>
      </w:tblPr>
      <w:tblGrid>
        <w:gridCol w:w="124"/>
        <w:gridCol w:w="466"/>
        <w:gridCol w:w="9136"/>
      </w:tblGrid>
      <w:tr>
        <w:trPr/>
        <w:tc>
          <w:tcPr>
            <w:tcW w:w="1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99.1</w:t>
            </w:r>
          </w:p>
        </w:tc>
        <w:tc>
          <w:tcPr>
            <w:tcW w:w="9136" w:type="dxa"/>
            <w:tcBorders/>
            <w:vAlign w:val="center"/>
          </w:tcPr>
          <w:p>
            <w:pPr>
              <w:pStyle w:val="TableContents"/>
              <w:bidi w:val="0"/>
              <w:spacing w:before="0" w:after="240"/>
              <w:jc w:val="both"/>
              <w:rPr/>
            </w:pPr>
            <w:hyperlink w:anchor="giii-20260818xex99d1.htm">
              <w:r>
                <w:rPr>
                  <w:rStyle w:val="InternetLink"/>
                  <w:rFonts w:ascii="Times New Roman;Times;serif" w:hAnsi="Times New Roman;Times;serif"/>
                  <w:b w:val="false"/>
                  <w:i w:val="false"/>
                  <w:caps w:val="false"/>
                  <w:smallCaps w:val="false"/>
                  <w:sz w:val="20"/>
                </w:rPr>
                <w:t>Press release of G-III Apparel Group, Ltd. issued on August 20, 2026 relating to its quarterly dividend payment.</w:t>
              </w:r>
            </w:hyperlink>
          </w:p>
        </w:tc>
      </w:tr>
    </w:tbl>
    <w:tbl>
      <w:tblPr>
        <w:tblW w:w="7191" w:type="dxa"/>
        <w:jc w:val="left"/>
        <w:tblInd w:w="0" w:type="dxa"/>
        <w:tblLayout w:type="fixed"/>
        <w:tblCellMar>
          <w:top w:w="0" w:type="dxa"/>
          <w:left w:w="0" w:type="dxa"/>
          <w:bottom w:w="0" w:type="dxa"/>
          <w:right w:w="0" w:type="dxa"/>
        </w:tblCellMar>
      </w:tblPr>
      <w:tblGrid>
        <w:gridCol w:w="124"/>
        <w:gridCol w:w="421"/>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104</w:t>
            </w:r>
          </w:p>
        </w:tc>
        <w:tc>
          <w:tcPr>
            <w:tcW w:w="66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480"/>
        <w:ind w:left="0" w:right="0" w:hanging="0"/>
        <w:jc w:val="center"/>
        <w:rPr>
          <w:rFonts w:ascii="Times New Roman;Times;serif" w:hAnsi="Times New Roman;Times;serif"/>
          <w:b w:val="false"/>
          <w:sz w:val="20"/>
        </w:rPr>
      </w:pPr>
      <w:r>
        <w:rPr>
          <w:rFonts w:ascii="Times New Roman;Times;serif" w:hAnsi="Times New Roman;Times;serif"/>
          <w:b w:val="false"/>
          <w:sz w:val="20"/>
        </w:rPr>
        <w:t>SIGNATURE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593" w:type="dxa"/>
        <w:jc w:val="left"/>
        <w:tblInd w:w="0" w:type="dxa"/>
        <w:tblLayout w:type="fixed"/>
        <w:tblCellMar>
          <w:top w:w="0" w:type="dxa"/>
          <w:left w:w="0" w:type="dxa"/>
          <w:bottom w:w="0" w:type="dxa"/>
          <w:right w:w="0" w:type="dxa"/>
        </w:tblCellMar>
      </w:tblPr>
      <w:tblGrid>
        <w:gridCol w:w="1951"/>
        <w:gridCol w:w="631"/>
        <w:gridCol w:w="2011"/>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G-III APPAREL GROUP, LTD.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20,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Neal S. Nackman</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Neal S. Nackman</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TextBody"/>
        <w:pBdr/>
        <w:bidi w:val="0"/>
        <w:spacing w:before="0" w:after="0"/>
        <w:ind w:left="0" w:right="0" w:hanging="4320"/>
        <w:jc w:val="right"/>
        <w:rPr>
          <w:rFonts w:ascii="Times New Roman;Times;serif" w:hAnsi="Times New Roman;Times;serif"/>
          <w:b/>
          <w:sz w:val="24"/>
        </w:rPr>
      </w:pPr>
      <w:bookmarkStart w:id="11" w:name="giii-20260818xex99d1.htm"/>
      <w:bookmarkStart w:id="12" w:name="ksgiii20260818xex99d1"/>
      <w:bookmarkEnd w:id="11"/>
      <w:bookmarkEnd w:id="12"/>
      <w:r>
        <w:rPr>
          <w:rFonts w:ascii="Times New Roman;Times;serif" w:hAnsi="Times New Roman;Times;serif"/>
          <w:b/>
          <w:sz w:val="24"/>
        </w:rPr>
        <w:t>Exhibit 99.1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13" w:name="_Hlk98324635"/>
      <w:bookmarkEnd w:id="13"/>
      <w:r>
        <w:rPr>
          <w:rFonts w:ascii="Times New Roman;Times;serif" w:hAnsi="Times New Roman;Times;serif"/>
          <w:b/>
          <w:sz w:val="28"/>
        </w:rPr>
        <w:t>G-III APPAREL GROUP, LTD.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G-III Apparel Group Declares Quarterly Dividend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G-III Apparel Group, Ltd. (NASDAQ: GIII) today announced that its Board of Directors has declared a quarterly cash dividend of $0.10 per share. The dividend is payable on September 29, 2026 to stockholders of record on September 15, 2026.</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About G-III Apparel Group, Ltd.</w:t>
      </w:r>
      <w:r>
        <w:rPr>
          <w:rFonts w:ascii="Times New Roman;Times;serif" w:hAnsi="Times New Roman;Times;serif"/>
          <w:sz w:val="24"/>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G-III Apparel Group, Ltd. is a global fashion leader with expertise in design, sourcing, distribution, and marketing. The Company owns and licenses a portfolio of more than 30 preeminent brands, each differentiated by unique brand propositions, product categories, and consumer touchpoints. G-III owns ten iconic brands, including DKNY, Donna Karan, Karl Lagerfeld, Sonia Rykiel, and Vilebrequin, and licenses over 20 of the most sought-after names in global fashion, including Calvin Klein, Tommy Hilfiger, Levi’s, Halston, Champion, Converse, Cole Haan, BCBG, French Connection, Starter, as well as major sports leagues such as the NFL, NBA, NHL and MLB, among others.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4"/>
        </w:rPr>
      </w:pPr>
      <w:r>
        <w:rPr>
          <w:rFonts w:ascii="Times New Roman;Times;serif" w:hAnsi="Times New Roman;Times;serif"/>
          <w:i/>
          <w:sz w:val="24"/>
        </w:rPr>
        <w:t>Statements concerning G-III's expectations regarding future events are "forward-looking statements" as that term is defined under the federal securities laws. Forward-looking statements are subject to risks, uncertainties and factors which include, but are not limited to, risks related to the reliance on licensed product, risks relating to G-III’s ability to increase revenues from sales of its other products, new acquired businesses or new license agreements as licenses for Calvin Klein and Tommy Hilfiger product expire on a staggered basis, reliance on foreign manufacturers, risks of doing business abroad, supply chain disruptions, risks related to acts of terrorism and the effects of war, the current economic and credit environment risks related to our indebtedness, the nature of the apparel industry, including changing customer demand and tastes, customer concentration, seasonality, risks of operating a retail business, risks related to G-III’s ability to reduce the losses incurred in its retail operations, customer acceptance of new products, the impact of competitive products and pricing, dependence on existing management, possible disruption from acquisitions, the impact on G-III’s business of the imposition of tariffs by the United States government and business and general economic conditions, including inflation and higher interest rates, as well as other risks detailed in G-III's filings with the Securities and Exchange Commission. G-III assumes no obligation to update the information in this release.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Nick Bacchus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SVP of Investor Relations and Treasurer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IR@g-iii.com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861</Words>
  <Characters>4818</Characters>
  <CharactersWithSpaces>5664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