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GOLDFARB MORRIS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G-III APPAREL GROUP,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512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 III APPAREL GROUP LTD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GIII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1"/>
        <w:gridCol w:w="925"/>
        <w:gridCol w:w="794"/>
        <w:gridCol w:w="614"/>
        <w:gridCol w:w="344"/>
        <w:gridCol w:w="968"/>
        <w:gridCol w:w="428"/>
        <w:gridCol w:w="596"/>
        <w:gridCol w:w="1263"/>
        <w:gridCol w:w="977"/>
        <w:gridCol w:w="124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4,492,675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4,457,675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Arlene Goldfarb 2012 Delaware Trust</w:t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166,750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Goldfarb Family Partners, LLC</w:t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Morris Goldfarb 2012 Delaware Trust</w:t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29,666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140,258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Morris And Arlene Goldfarb Family Foundation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gift of shares to a trust established for the benefit of a grandchild of the Reporting Person. The Reporting Person has no pecuniary interest in the shares held by the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bona fide gift of shares to a trust established for the benefit of a grandchild of the Reporting Person. The Reporting Person has no pecuniary interest in the shares held by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Morris Goldfarb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07772" TargetMode="External"/><Relationship Id="rId5" Type="http://schemas.openxmlformats.org/officeDocument/2006/relationships/hyperlink" Target="http://www.sec.gov/cgi-bin/browse-edgar?action=getcompany&amp;CIK=0000821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725</Words>
  <Characters>3818</Characters>
  <CharactersWithSpaces>4446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