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3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GOLDFARB MORRIS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G-III APPAREL GROUP,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512 SEVENTH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 III APPAREL GROUP LTD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GIII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60" w:type="dxa"/>
            <w:vAlign w:val="bottom"/>
            <w:tcBorders>
              <w:top w:val="single" w:sz="8" w:color="0000EE"/>
            </w:tcBorders>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6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6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rPr>
                <w:sz w:val="20"/>
                <w:szCs w:val="20"/>
                <w:color w:val="auto"/>
              </w:rPr>
            </w:pPr>
            <w:r>
              <w:rPr>
                <w:rFonts w:ascii="Arial" w:cs="Arial" w:eastAsia="Arial" w:hAnsi="Arial"/>
                <w:sz w:val="13"/>
                <w:szCs w:val="13"/>
                <w:color w:val="auto"/>
              </w:rPr>
              <w:t>below)</w:t>
            </w: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ind w:left="12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9"/>
                <w:szCs w:val="19"/>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3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234,405</w:t>
            </w:r>
            <w:r>
              <w:rPr>
                <w:rFonts w:ascii="Times New Roman" w:cs="Times New Roman" w:eastAsia="Times New Roman" w:hAnsi="Times New Roman"/>
                <w:sz w:val="22"/>
                <w:szCs w:val="22"/>
                <w:color w:val="008000"/>
                <w:vertAlign w:val="superscript"/>
              </w:rPr>
              <w:t>(1)</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4,299,433</w:t>
            </w:r>
          </w:p>
        </w:tc>
        <w:tc>
          <w:tcPr>
            <w:tcW w:w="340" w:type="dxa"/>
            <w:vAlign w:val="bottom"/>
          </w:tcPr>
          <w:p>
            <w:pPr>
              <w:spacing w:after="0"/>
              <w:rPr>
                <w:sz w:val="21"/>
                <w:szCs w:val="21"/>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187,238</w:t>
            </w:r>
            <w:r>
              <w:rPr>
                <w:rFonts w:ascii="Times New Roman" w:cs="Times New Roman" w:eastAsia="Times New Roman" w:hAnsi="Times New Roman"/>
                <w:sz w:val="22"/>
                <w:szCs w:val="22"/>
                <w:color w:val="008000"/>
                <w:vertAlign w:val="superscript"/>
              </w:rPr>
              <w:t>(2)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34.63</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4,112,195</w:t>
            </w:r>
          </w:p>
        </w:tc>
        <w:tc>
          <w:tcPr>
            <w:tcW w:w="340" w:type="dxa"/>
            <w:vAlign w:val="bottom"/>
          </w:tcPr>
          <w:p>
            <w:pPr>
              <w:spacing w:after="0"/>
              <w:rPr>
                <w:sz w:val="21"/>
                <w:szCs w:val="21"/>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Arlene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Goldfarb</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340" w:type="dxa"/>
            <w:vAlign w:val="bottom"/>
          </w:tcPr>
          <w:p>
            <w:pPr>
              <w:spacing w:after="0"/>
              <w:rPr>
                <w:sz w:val="9"/>
                <w:szCs w:val="9"/>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Goldfarb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166,750</w:t>
            </w:r>
          </w:p>
        </w:tc>
        <w:tc>
          <w:tcPr>
            <w:tcW w:w="340" w:type="dxa"/>
            <w:vAlign w:val="bottom"/>
          </w:tcPr>
          <w:p>
            <w:pPr>
              <w:spacing w:after="0"/>
              <w:rPr>
                <w:sz w:val="18"/>
                <w:szCs w:val="18"/>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Morris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Goldfarb</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200,000</w:t>
            </w:r>
          </w:p>
        </w:tc>
        <w:tc>
          <w:tcPr>
            <w:tcW w:w="340" w:type="dxa"/>
            <w:vAlign w:val="bottom"/>
          </w:tcPr>
          <w:p>
            <w:pPr>
              <w:spacing w:after="0"/>
              <w:rPr>
                <w:sz w:val="9"/>
                <w:szCs w:val="9"/>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29,666</w:t>
            </w:r>
          </w:p>
        </w:tc>
        <w:tc>
          <w:tcPr>
            <w:tcW w:w="340" w:type="dxa"/>
            <w:vAlign w:val="bottom"/>
          </w:tcPr>
          <w:p>
            <w:pPr>
              <w:spacing w:after="0"/>
              <w:rPr>
                <w:sz w:val="21"/>
                <w:szCs w:val="21"/>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Morris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140,258</w:t>
            </w:r>
          </w:p>
        </w:tc>
        <w:tc>
          <w:tcPr>
            <w:tcW w:w="340" w:type="dxa"/>
            <w:vAlign w:val="bottom"/>
          </w:tcPr>
          <w:p>
            <w:pPr>
              <w:spacing w:after="0"/>
              <w:rPr>
                <w:sz w:val="18"/>
                <w:szCs w:val="18"/>
                <w:color w:val="auto"/>
              </w:rPr>
            </w:pPr>
          </w:p>
        </w:tc>
        <w:tc>
          <w:tcPr>
            <w:tcW w:w="54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Arlene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Goldfarb</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789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789430"/>
                    </a:xfrm>
                    <a:prstGeom prst="rect">
                      <a:avLst/>
                    </a:prstGeom>
                    <a:noFill/>
                  </pic:spPr>
                </pic:pic>
              </a:graphicData>
            </a:graphic>
          </wp:anchor>
        </w:drawing>
      </w:r>
    </w:p>
    <w:p>
      <w:pPr>
        <w:sectPr>
          <w:pgSz w:w="11900" w:h="1693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09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the vesting of 234,405 Performance Stock Units ("PSUs"), each representing a contingent right to receive one share of common stock of G-III Apparel Group, Ltd., granted on April 27, 2023, subject to the satisfaction of two metrics: (i) three-year cumulative earnings before interest and taxes and (ii) three-year average return on invested capital during the three-year performance period of fiscal 2024 through fiscal 2026 (the "Performance Period"). The Company achieved 150% of both metrics during the Performance Period.</w:t>
      </w:r>
    </w:p>
    <w:p>
      <w:pPr>
        <w:spacing w:after="0" w:line="2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 in connection with the vesting of 234,405 PSUs and 104,180 restricted stock units ("RSUs"). The grant of the RSUs was reported on the Form 4 filed May 1, 2023.</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Morris Goldfarb</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8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07772" TargetMode="External"/><Relationship Id="rId14" Type="http://schemas.openxmlformats.org/officeDocument/2006/relationships/hyperlink" Target="http://www.sec.gov/cgi-bin/browse-edgar?action=getcompany&amp;CIK=0000821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2026-06-17T17:30:23Z</dcterms:created>
  <dcterms:modified xsi:type="dcterms:W3CDTF">2026-06-17T17:30:23Z</dcterms:modified>
</cp:coreProperties>
</file>