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giii-20260616xs8.htm"/>
      <w:bookmarkStart w:id="1" w:name="ksgiii20260616xs8"/>
      <w:bookmarkStart w:id="2" w:name="giii-20260616xs8.htm"/>
      <w:bookmarkStart w:id="3" w:name="ksgiii20260616xs8"/>
      <w:bookmarkEnd w:id="2"/>
      <w:bookmarkEnd w:id="3"/>
    </w:p>
    <w:tbl>
      <w:tblPr>
        <w:tblW w:w="7816" w:type="dxa"/>
        <w:jc w:val="center"/>
        <w:tblInd w:w="0" w:type="dxa"/>
        <w:tblLayout w:type="fixed"/>
        <w:tblCellMar>
          <w:top w:w="0" w:type="dxa"/>
          <w:left w:w="0" w:type="dxa"/>
          <w:bottom w:w="0" w:type="dxa"/>
          <w:right w:w="0" w:type="dxa"/>
        </w:tblCellMar>
      </w:tblPr>
      <w:tblGrid>
        <w:gridCol w:w="2653"/>
        <w:gridCol w:w="486"/>
        <w:gridCol w:w="1150"/>
        <w:gridCol w:w="831"/>
        <w:gridCol w:w="345"/>
        <w:gridCol w:w="2351"/>
      </w:tblGrid>
      <w:tr>
        <w:trPr/>
        <w:tc>
          <w:tcPr>
            <w:tcW w:w="3139" w:type="dxa"/>
            <w:gridSpan w:val="2"/>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left"/>
              <w:rPr/>
            </w:pPr>
            <w:r>
              <w:rPr/>
              <w:t>​</w:t>
            </w:r>
          </w:p>
        </w:tc>
        <w:tc>
          <w:tcPr>
            <w:tcW w:w="2696" w:type="dxa"/>
            <w:gridSpan w:val="2"/>
            <w:tcBorders/>
            <w:vAlign w:val="center"/>
          </w:tcPr>
          <w:p>
            <w:pPr>
              <w:pStyle w:val="TableContents"/>
              <w:bidi w:val="0"/>
              <w:spacing w:before="0" w:after="0"/>
              <w:ind w:left="0" w:right="0" w:hanging="0"/>
              <w:jc w:val="left"/>
              <w:rPr/>
            </w:pPr>
            <w:r>
              <w:rPr/>
              <w:t>​</w:t>
            </w:r>
          </w:p>
        </w:tc>
      </w:tr>
      <w:tr>
        <w:trPr/>
        <w:tc>
          <w:tcPr>
            <w:tcW w:w="7816" w:type="dxa"/>
            <w:gridSpan w:val="6"/>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As filed with the Securities and Exchange Commission on June 18, 2026</w:t>
            </w:r>
          </w:p>
        </w:tc>
      </w:tr>
      <w:tr>
        <w:trPr/>
        <w:tc>
          <w:tcPr>
            <w:tcW w:w="7816" w:type="dxa"/>
            <w:gridSpan w:val="6"/>
            <w:tcBorders>
              <w:bottom w:val="double" w:sz="6" w:space="0" w:color="000000"/>
            </w:tcBorders>
            <w:tcMar>
              <w:bottom w:w="28" w:type="dxa"/>
            </w:tcMar>
            <w:vAlign w:val="center"/>
          </w:tcPr>
          <w:p>
            <w:pPr>
              <w:pStyle w:val="TableContents"/>
              <w:bidi w:val="0"/>
              <w:spacing w:before="0" w:after="60"/>
              <w:ind w:left="0" w:right="0" w:hanging="0"/>
              <w:jc w:val="right"/>
              <w:rPr>
                <w:rFonts w:ascii="Times New Roman;Times;serif" w:hAnsi="Times New Roman;Times;serif"/>
                <w:b/>
                <w:sz w:val="20"/>
              </w:rPr>
            </w:pPr>
            <w:r>
              <w:rPr>
                <w:rFonts w:ascii="Times New Roman;Times;serif" w:hAnsi="Times New Roman;Times;serif"/>
                <w:b/>
                <w:sz w:val="20"/>
              </w:rPr>
              <w:t>Registration No. 333-</w:t>
            </w:r>
          </w:p>
        </w:tc>
      </w:tr>
      <w:tr>
        <w:trPr/>
        <w:tc>
          <w:tcPr>
            <w:tcW w:w="7816" w:type="dxa"/>
            <w:gridSpan w:val="6"/>
            <w:tcBorders>
              <w:top w:val="double" w:sz="6"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tc>
      </w:tr>
      <w:tr>
        <w:trPr/>
        <w:tc>
          <w:tcPr>
            <w:tcW w:w="7816" w:type="dxa"/>
            <w:gridSpan w:val="6"/>
            <w:tcBorders/>
            <w:vAlign w:val="center"/>
          </w:tcPr>
          <w:p>
            <w:pPr>
              <w:pStyle w:val="TableContents"/>
              <w:bidi w:val="0"/>
              <w:spacing w:before="0" w:after="0"/>
              <w:ind w:left="0" w:right="0" w:hanging="0"/>
              <w:jc w:val="center"/>
              <w:rPr/>
            </w:pPr>
            <w:r>
              <w:rPr/>
              <w:t>  ​ ​ ​ ​</w:t>
            </w:r>
            <w:r>
              <w:rPr>
                <w:rFonts w:ascii="Times New Roman;Times;serif" w:hAnsi="Times New Roman;Times;serif"/>
                <w:b/>
                <w:sz w:val="22"/>
              </w:rPr>
              <w:t>Washington, D.C. 20549     </w:t>
            </w:r>
          </w:p>
        </w:tc>
      </w:tr>
      <w:tr>
        <w:trPr/>
        <w:tc>
          <w:tcPr>
            <w:tcW w:w="3139" w:type="dxa"/>
            <w:gridSpan w:val="2"/>
            <w:tcBorders/>
            <w:vAlign w:val="center"/>
          </w:tcPr>
          <w:p>
            <w:pPr>
              <w:pStyle w:val="TableContents"/>
              <w:bidi w:val="0"/>
              <w:spacing w:before="0" w:after="0"/>
              <w:ind w:left="0" w:right="0" w:hanging="0"/>
              <w:jc w:val="left"/>
              <w:rPr/>
            </w:pPr>
            <w:r>
              <w:rPr/>
              <w:t>​</w:t>
            </w:r>
          </w:p>
        </w:tc>
        <w:tc>
          <w:tcPr>
            <w:tcW w:w="1981" w:type="dxa"/>
            <w:gridSpan w:val="2"/>
            <w:tcBorders>
              <w:bottom w:val="single" w:sz="2" w:space="0" w:color="000000"/>
            </w:tcBorders>
            <w:tcMar>
              <w:bottom w:w="28" w:type="dxa"/>
            </w:tcMar>
            <w:vAlign w:val="center"/>
          </w:tcPr>
          <w:p>
            <w:pPr>
              <w:pStyle w:val="TableContents"/>
              <w:bidi w:val="0"/>
              <w:spacing w:lineRule="auto" w:line="144" w:before="0" w:after="0"/>
              <w:ind w:left="0" w:right="0" w:hanging="0"/>
              <w:jc w:val="left"/>
              <w:rPr/>
            </w:pPr>
            <w:r>
              <w:rPr/>
              <w:t>​</w:t>
            </w:r>
          </w:p>
        </w:tc>
        <w:tc>
          <w:tcPr>
            <w:tcW w:w="2696" w:type="dxa"/>
            <w:gridSpan w:val="2"/>
            <w:tcBorders/>
            <w:vAlign w:val="center"/>
          </w:tcPr>
          <w:p>
            <w:pPr>
              <w:pStyle w:val="TableContents"/>
              <w:bidi w:val="0"/>
              <w:spacing w:before="0" w:after="0"/>
              <w:ind w:left="0" w:right="0" w:hanging="0"/>
              <w:jc w:val="left"/>
              <w:rPr/>
            </w:pPr>
            <w:r>
              <w:rPr/>
              <w:t>​</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S-8</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REGISTRATION STATEMENT UNDER THE SECURITIES ACT OF 1933</w:t>
            </w:r>
          </w:p>
        </w:tc>
      </w:tr>
      <w:tr>
        <w:trPr/>
        <w:tc>
          <w:tcPr>
            <w:tcW w:w="3139" w:type="dxa"/>
            <w:gridSpan w:val="2"/>
            <w:tcBorders/>
            <w:vAlign w:val="center"/>
          </w:tcPr>
          <w:p>
            <w:pPr>
              <w:pStyle w:val="TableContents"/>
              <w:bidi w:val="0"/>
              <w:spacing w:before="0" w:after="0"/>
              <w:ind w:left="0" w:right="0" w:hanging="0"/>
              <w:jc w:val="left"/>
              <w:rPr/>
            </w:pPr>
            <w:r>
              <w:rPr/>
              <w:t>​</w:t>
            </w:r>
          </w:p>
        </w:tc>
        <w:tc>
          <w:tcPr>
            <w:tcW w:w="1981" w:type="dxa"/>
            <w:gridSpan w:val="2"/>
            <w:tcBorders>
              <w:bottom w:val="single" w:sz="2" w:space="0" w:color="000000"/>
            </w:tcBorders>
            <w:tcMar>
              <w:bottom w:w="28" w:type="dxa"/>
            </w:tcMar>
            <w:vAlign w:val="center"/>
          </w:tcPr>
          <w:p>
            <w:pPr>
              <w:pStyle w:val="TableContents"/>
              <w:bidi w:val="0"/>
              <w:spacing w:lineRule="auto" w:line="144" w:before="0" w:after="0"/>
              <w:ind w:left="0" w:right="0" w:hanging="0"/>
              <w:jc w:val="left"/>
              <w:rPr/>
            </w:pPr>
            <w:r>
              <w:rPr/>
              <w:t>​</w:t>
            </w:r>
          </w:p>
        </w:tc>
        <w:tc>
          <w:tcPr>
            <w:tcW w:w="2696" w:type="dxa"/>
            <w:gridSpan w:val="2"/>
            <w:tcBorders/>
            <w:vAlign w:val="center"/>
          </w:tcPr>
          <w:p>
            <w:pPr>
              <w:pStyle w:val="TableContents"/>
              <w:bidi w:val="0"/>
              <w:spacing w:before="0" w:after="0"/>
              <w:ind w:left="0" w:right="0" w:hanging="0"/>
              <w:jc w:val="left"/>
              <w:rPr/>
            </w:pPr>
            <w:r>
              <w:rPr/>
              <w:t>​</w:t>
            </w:r>
          </w:p>
        </w:tc>
      </w:tr>
      <w:tr>
        <w:trPr/>
        <w:tc>
          <w:tcPr>
            <w:tcW w:w="7816" w:type="dxa"/>
            <w:gridSpan w:val="6"/>
            <w:tcBorders/>
            <w:vAlign w:val="center"/>
          </w:tcPr>
          <w:p>
            <w:pPr>
              <w:pStyle w:val="TableContents"/>
              <w:bidi w:val="0"/>
              <w:spacing w:lineRule="auto" w:line="144" w:before="0" w:after="0"/>
              <w:ind w:left="0" w:right="0" w:hanging="0"/>
              <w:jc w:val="left"/>
              <w:rPr/>
            </w:pPr>
            <w:r>
              <w:rPr/>
              <w:t>​</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G-III APPAREL GROUP, LTD.</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tc>
      </w:tr>
      <w:tr>
        <w:trPr/>
        <w:tc>
          <w:tcPr>
            <w:tcW w:w="4289" w:type="dxa"/>
            <w:gridSpan w:val="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20"/>
              </w:rPr>
              <w:t>Delaware</w:t>
            </w:r>
            <w:r>
              <w:rPr>
                <w:rFonts w:ascii="Times New Roman;Times;serif" w:hAnsi="Times New Roman;Times;serif"/>
                <w:b/>
                <w:sz w:val="18"/>
              </w:rPr>
              <w:br/>
            </w:r>
            <w:r>
              <w:rPr>
                <w:rFonts w:ascii="Times New Roman;Times;serif" w:hAnsi="Times New Roman;Times;serif"/>
                <w:sz w:val="16"/>
              </w:rPr>
              <w:t>(State or other jurisdiction of incorporation or organization)</w:t>
            </w:r>
          </w:p>
        </w:tc>
        <w:tc>
          <w:tcPr>
            <w:tcW w:w="3527" w:type="dxa"/>
            <w:gridSpan w:val="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20"/>
              </w:rPr>
              <w:t>41</w:t>
            </w:r>
            <w:r>
              <w:rPr>
                <w:rFonts w:ascii="Times New Roman;Times;serif" w:hAnsi="Times New Roman;Times;serif"/>
                <w:sz w:val="16"/>
              </w:rPr>
              <w:noBreakHyphen/>
            </w:r>
            <w:r>
              <w:rPr>
                <w:rFonts w:ascii="Times New Roman;Times;serif" w:hAnsi="Times New Roman;Times;serif"/>
                <w:b/>
                <w:sz w:val="20"/>
              </w:rPr>
              <w:t>1590959</w:t>
            </w:r>
            <w:r>
              <w:rPr>
                <w:rFonts w:ascii="Times New Roman;Times;serif" w:hAnsi="Times New Roman;Times;serif"/>
                <w:b/>
                <w:sz w:val="18"/>
              </w:rPr>
              <w:br/>
            </w:r>
            <w:r>
              <w:rPr>
                <w:rFonts w:ascii="Times New Roman;Times;serif" w:hAnsi="Times New Roman;Times;serif"/>
                <w:sz w:val="16"/>
              </w:rPr>
              <w:t>(I.R.S. Employer Identification No.)</w:t>
            </w:r>
          </w:p>
        </w:tc>
      </w:tr>
      <w:tr>
        <w:trPr/>
        <w:tc>
          <w:tcPr>
            <w:tcW w:w="4289" w:type="dxa"/>
            <w:gridSpan w:val="3"/>
            <w:tcBorders/>
            <w:vAlign w:val="center"/>
          </w:tcPr>
          <w:p>
            <w:pPr>
              <w:pStyle w:val="TableContents"/>
              <w:bidi w:val="0"/>
              <w:spacing w:before="100" w:after="0"/>
              <w:ind w:left="0" w:right="0" w:hanging="0"/>
              <w:jc w:val="center"/>
              <w:rPr>
                <w:rFonts w:ascii="Times New Roman;Times;serif" w:hAnsi="Times New Roman;Times;serif"/>
                <w:sz w:val="16"/>
              </w:rPr>
            </w:pPr>
            <w:r>
              <w:rPr>
                <w:rFonts w:ascii="Times New Roman;Times;serif" w:hAnsi="Times New Roman;Times;serif"/>
                <w:b/>
                <w:sz w:val="20"/>
              </w:rPr>
              <w:t>512 Seventh Avenue</w:t>
              <w:br/>
              <w:t>New York, New York</w:t>
            </w:r>
            <w:r>
              <w:rPr>
                <w:rFonts w:ascii="Times New Roman;Times;serif" w:hAnsi="Times New Roman;Times;serif"/>
                <w:b/>
                <w:sz w:val="18"/>
              </w:rPr>
              <w:br/>
            </w:r>
            <w:r>
              <w:rPr>
                <w:rFonts w:ascii="Times New Roman;Times;serif" w:hAnsi="Times New Roman;Times;serif"/>
                <w:sz w:val="16"/>
              </w:rPr>
              <w:t>(Address of Principal Executive Offices)</w:t>
            </w:r>
          </w:p>
        </w:tc>
        <w:tc>
          <w:tcPr>
            <w:tcW w:w="3527" w:type="dxa"/>
            <w:gridSpan w:val="3"/>
            <w:tcBorders/>
            <w:vAlign w:val="center"/>
          </w:tcPr>
          <w:p>
            <w:pPr>
              <w:pStyle w:val="TableContents"/>
              <w:bidi w:val="0"/>
              <w:spacing w:before="100" w:after="0"/>
              <w:ind w:left="0" w:right="0" w:hanging="0"/>
              <w:jc w:val="center"/>
              <w:rPr>
                <w:rFonts w:ascii="Times New Roman;Times;serif" w:hAnsi="Times New Roman;Times;serif"/>
                <w:sz w:val="16"/>
              </w:rPr>
            </w:pPr>
            <w:r>
              <w:rPr>
                <w:rFonts w:ascii="Times New Roman;Times;serif" w:hAnsi="Times New Roman;Times;serif"/>
                <w:b/>
                <w:sz w:val="20"/>
              </w:rPr>
              <w:t>10018</w:t>
            </w:r>
            <w:r>
              <w:rPr>
                <w:rFonts w:ascii="Times New Roman;Times;serif" w:hAnsi="Times New Roman;Times;serif"/>
                <w:sz w:val="20"/>
              </w:rPr>
              <w:br/>
            </w:r>
            <w:r>
              <w:rPr>
                <w:rFonts w:ascii="Times New Roman;Times;serif" w:hAnsi="Times New Roman;Times;serif"/>
                <w:sz w:val="16"/>
              </w:rPr>
              <w:t>(Zip Code)</w:t>
            </w:r>
          </w:p>
        </w:tc>
      </w:tr>
      <w:tr>
        <w:trPr/>
        <w:tc>
          <w:tcPr>
            <w:tcW w:w="7816" w:type="dxa"/>
            <w:gridSpan w:val="6"/>
            <w:tcBorders/>
            <w:vAlign w:val="center"/>
          </w:tcPr>
          <w:p>
            <w:pPr>
              <w:pStyle w:val="TableContents"/>
              <w:bidi w:val="0"/>
              <w:spacing w:before="120" w:after="0"/>
              <w:ind w:left="0" w:right="0" w:hanging="0"/>
              <w:jc w:val="center"/>
              <w:rPr>
                <w:rFonts w:ascii="Times New Roman;Times;serif" w:hAnsi="Times New Roman;Times;serif"/>
                <w:b/>
                <w:sz w:val="24"/>
              </w:rPr>
            </w:pPr>
            <w:r>
              <w:rPr>
                <w:rFonts w:ascii="Times New Roman;Times;serif" w:hAnsi="Times New Roman;Times;serif"/>
                <w:b/>
                <w:sz w:val="24"/>
              </w:rPr>
              <w:t>G-III Apparel Group, Ltd. 2023 Long-Term Incentive Plan</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(Full title of the plan)</w:t>
            </w:r>
          </w:p>
        </w:tc>
      </w:tr>
      <w:tr>
        <w:trPr/>
        <w:tc>
          <w:tcPr>
            <w:tcW w:w="2653" w:type="dxa"/>
            <w:tcBorders/>
            <w:vAlign w:val="center"/>
          </w:tcPr>
          <w:p>
            <w:pPr>
              <w:pStyle w:val="TableContents"/>
              <w:bidi w:val="0"/>
              <w:spacing w:before="0" w:after="0"/>
              <w:ind w:left="0" w:right="0" w:hanging="0"/>
              <w:jc w:val="left"/>
              <w:rPr/>
            </w:pPr>
            <w:r>
              <w:rPr/>
              <w:t>​</w:t>
            </w:r>
          </w:p>
        </w:tc>
        <w:tc>
          <w:tcPr>
            <w:tcW w:w="2812" w:type="dxa"/>
            <w:gridSpan w:val="4"/>
            <w:tcBorders>
              <w:bottom w:val="single" w:sz="2" w:space="0" w:color="000000"/>
            </w:tcBorders>
            <w:tcMar>
              <w:bottom w:w="28" w:type="dxa"/>
            </w:tcMar>
            <w:vAlign w:val="center"/>
          </w:tcPr>
          <w:p>
            <w:pPr>
              <w:pStyle w:val="TableContents"/>
              <w:bidi w:val="0"/>
              <w:spacing w:lineRule="auto" w:line="144" w:before="0" w:after="0"/>
              <w:ind w:left="0" w:right="0" w:hanging="0"/>
              <w:jc w:val="left"/>
              <w:rPr/>
            </w:pPr>
            <w:r>
              <w:rPr/>
              <w:t>​</w:t>
            </w:r>
          </w:p>
        </w:tc>
        <w:tc>
          <w:tcPr>
            <w:tcW w:w="2351" w:type="dxa"/>
            <w:tcBorders/>
            <w:vAlign w:val="center"/>
          </w:tcPr>
          <w:p>
            <w:pPr>
              <w:pStyle w:val="TableContents"/>
              <w:bidi w:val="0"/>
              <w:spacing w:before="0" w:after="0"/>
              <w:ind w:left="0" w:right="0" w:hanging="0"/>
              <w:jc w:val="left"/>
              <w:rPr/>
            </w:pPr>
            <w:r>
              <w:rPr/>
              <w:t>​</w:t>
            </w:r>
          </w:p>
        </w:tc>
      </w:tr>
      <w:tr>
        <w:trPr/>
        <w:tc>
          <w:tcPr>
            <w:tcW w:w="7816" w:type="dxa"/>
            <w:gridSpan w:val="6"/>
            <w:tcBorders/>
            <w:vAlign w:val="center"/>
          </w:tcPr>
          <w:p>
            <w:pPr>
              <w:pStyle w:val="TableContents"/>
              <w:bidi w:val="0"/>
              <w:spacing w:before="0" w:after="0"/>
              <w:ind w:left="0" w:right="0" w:hanging="0"/>
              <w:jc w:val="left"/>
              <w:rPr/>
            </w:pPr>
            <w:r>
              <w:rPr/>
              <w:t>​</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Morris Goldfarb, Chief Executive Officer</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512 Seventh Avenue</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 10018</w:t>
            </w:r>
          </w:p>
        </w:tc>
      </w:tr>
      <w:tr>
        <w:trPr/>
        <w:tc>
          <w:tcPr>
            <w:tcW w:w="7816" w:type="dxa"/>
            <w:gridSpan w:val="6"/>
            <w:tcBorders/>
            <w:vAlign w:val="center"/>
          </w:tcPr>
          <w:p>
            <w:pPr>
              <w:pStyle w:val="TableContents"/>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(Name and address of agent for service)</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(212) 403-0500</w:t>
            </w:r>
          </w:p>
        </w:tc>
      </w:tr>
      <w:tr>
        <w:trPr/>
        <w:tc>
          <w:tcPr>
            <w:tcW w:w="7816" w:type="dxa"/>
            <w:gridSpan w:val="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(Telephone number, including area code, of agent for service)</w:t>
            </w:r>
          </w:p>
        </w:tc>
      </w:tr>
      <w:tr>
        <w:trPr/>
        <w:tc>
          <w:tcPr>
            <w:tcW w:w="3139" w:type="dxa"/>
            <w:gridSpan w:val="2"/>
            <w:tcBorders/>
            <w:vAlign w:val="center"/>
          </w:tcPr>
          <w:p>
            <w:pPr>
              <w:pStyle w:val="TableContents"/>
              <w:bidi w:val="0"/>
              <w:spacing w:before="0" w:after="0"/>
              <w:ind w:left="0" w:right="0" w:hanging="0"/>
              <w:jc w:val="left"/>
              <w:rPr/>
            </w:pPr>
            <w:r>
              <w:rPr/>
              <w:t>​</w:t>
            </w:r>
          </w:p>
        </w:tc>
        <w:tc>
          <w:tcPr>
            <w:tcW w:w="198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96"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Copy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David Huntington, Esq.</w:t>
        <w:br/>
        <w:t>Paul, Weiss, Rifkind, Wharton &amp; Garrison LLP</w:t>
        <w:br/>
        <w:t>1285 Avenue of the Americas</w:t>
        <w:br/>
        <w:t>New York, New York 10019</w:t>
        <w:br/>
        <w:t>Telephone: (212) 373-3000</w:t>
        <w:br/>
        <w:t>Facsimile: (212) 757-3990</w:t>
      </w:r>
    </w:p>
    <w:tbl>
      <w:tblPr>
        <w:tblW w:w="387" w:type="dxa"/>
        <w:jc w:val="center"/>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144"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pPr>
      <w:r>
        <w:rPr/>
        <w:t>​</w:t>
      </w:r>
    </w:p>
    <w:tbl>
      <w:tblPr>
        <w:tblW w:w="4187" w:type="dxa"/>
        <w:jc w:val="center"/>
        <w:tblInd w:w="0" w:type="dxa"/>
        <w:tblLayout w:type="fixed"/>
        <w:tblCellMar>
          <w:top w:w="0" w:type="dxa"/>
          <w:left w:w="0" w:type="dxa"/>
          <w:bottom w:w="0" w:type="dxa"/>
          <w:right w:w="0" w:type="dxa"/>
        </w:tblCellMar>
      </w:tblPr>
      <w:tblGrid>
        <w:gridCol w:w="1891"/>
        <w:gridCol w:w="229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00785" cy="175260"/>
                      <wp:effectExtent l="0" t="0" r="0" b="0"/>
                      <wp:wrapNone/>
                      <wp:docPr id="1" name="Frame1"/>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Large accelerated filer ⌧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 ☐</w:t>
            </w:r>
          </w:p>
        </w:tc>
      </w:tr>
      <w:tr>
        <w:trPr/>
        <w:tc>
          <w:tcPr>
            <w:tcW w:w="1891"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 ☐</w:t>
            </w:r>
          </w:p>
        </w:tc>
      </w:tr>
    </w:tbl>
    <w:p>
      <w:pPr>
        <w:pStyle w:val="TextBody"/>
        <w:bidi w:val="0"/>
        <w:spacing w:before="0" w:after="0"/>
        <w:ind w:left="0" w:right="0" w:hanging="0"/>
        <w:jc w:val="left"/>
        <w:rPr/>
      </w:pPr>
      <w:r>
        <w:rPr/>
        <w:t>​</w:t>
      </w:r>
    </w:p>
    <w:p>
      <w:pPr>
        <w:pStyle w:val="TextBody"/>
        <w:bidi w:val="0"/>
        <w:spacing w:before="60" w:after="6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purpose of this Registration Statement on Form S-8 is to register an additional 2,500,000 shares of common stock, par value $0.01 per share (“Common Stock”), of G-III Apparel Group, Ltd. (the “Company”) for issuance pursuant to awards under the G-III Apparel Group, Ltd. 2023 Long-Term Incentive Plan, as amended (the “Plan”). In accordance with General Instruction E of Form S-8, the contents of the Company’s Registration Statement on Form S-8 (File No. 333-275045), filed with the Securities and Exchange Commission (the “Commission”) on October 17, 2023, to register 2,800,000 shares of Common Stock for issuance pursuant to awards under such Plan are incorporated herein by reference except as otherwise amended or superseded hereby. Effective June 11, 2026, the Company’s stockholders approved an amendment to the Plan to increase the number of shares of Common Stock that may be issued under the Plan. After giving effect to the additional shares registered under this Registration Statement, the aggregate number of shares of Common Stock registered for issuance under the Plan will be 5,300,000.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360"/>
        <w:ind w:left="0" w:right="0" w:hanging="0"/>
        <w:jc w:val="center"/>
        <w:rPr>
          <w:rFonts w:ascii="Times New Roman;Times;serif" w:hAnsi="Times New Roman;Times;serif"/>
          <w:b/>
          <w:sz w:val="20"/>
        </w:rPr>
      </w:pPr>
      <w:r>
        <w:rPr>
          <w:rFonts w:ascii="Times New Roman;Times;serif" w:hAnsi="Times New Roman;Times;serif"/>
          <w:b/>
          <w:sz w:val="20"/>
        </w:rPr>
        <w:t>INFORMATION REQUIRED IN THE REGISTRATION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3.            Incorporation of Documents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documents and information, which were previously filed by the Company with the Commission are incorporated herein by reference:</w:t>
      </w:r>
    </w:p>
    <w:tbl>
      <w:tblPr>
        <w:tblW w:w="9393" w:type="dxa"/>
        <w:jc w:val="left"/>
        <w:tblInd w:w="0" w:type="dxa"/>
        <w:tblLayout w:type="fixed"/>
        <w:tblCellMar>
          <w:top w:w="0" w:type="dxa"/>
          <w:left w:w="0" w:type="dxa"/>
          <w:bottom w:w="0" w:type="dxa"/>
          <w:right w:w="0" w:type="dxa"/>
        </w:tblCellMar>
      </w:tblPr>
      <w:tblGrid>
        <w:gridCol w:w="23"/>
        <w:gridCol w:w="170"/>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Company’s </w:t>
            </w:r>
            <w:hyperlink r:id="rId2">
              <w:r>
                <w:rPr>
                  <w:rStyle w:val="InternetLink"/>
                  <w:rFonts w:ascii="Times New Roman;Times;serif" w:hAnsi="Times New Roman;Times;serif"/>
                  <w:b w:val="false"/>
                  <w:i w:val="false"/>
                  <w:caps w:val="false"/>
                  <w:smallCaps w:val="false"/>
                  <w:sz w:val="20"/>
                </w:rPr>
                <w:t>Annual Report on Form 10-K for the fiscal year ended January 31, 2026, filed on March 24, 2026</w:t>
              </w:r>
            </w:hyperlink>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portions of the Company’s definitive proxy statement on </w:t>
            </w:r>
            <w:hyperlink r:id="rId3">
              <w:r>
                <w:rPr>
                  <w:rStyle w:val="InternetLink"/>
                  <w:rFonts w:ascii="Times New Roman;Times;serif" w:hAnsi="Times New Roman;Times;serif"/>
                  <w:b w:val="false"/>
                  <w:i w:val="false"/>
                  <w:caps w:val="false"/>
                  <w:smallCaps w:val="false"/>
                  <w:sz w:val="20"/>
                </w:rPr>
                <w:t>Schedule 14A for its 2026 annual meeting of stockholders, filed on May 5, 2026</w:t>
              </w:r>
            </w:hyperlink>
            <w:r>
              <w:rPr>
                <w:rFonts w:ascii="Times New Roman;Times;serif" w:hAnsi="Times New Roman;Times;serif"/>
                <w:b w:val="false"/>
                <w:i w:val="false"/>
                <w:caps w:val="false"/>
                <w:smallCaps w:val="false"/>
                <w:sz w:val="20"/>
              </w:rPr>
              <w:t>, that are incorporated by reference into Part III of the Company’s Annual Report on Form 10-K for the fiscal year ended January 31, 2026;</w:t>
            </w:r>
          </w:p>
        </w:tc>
      </w:tr>
    </w:tbl>
    <w:tbl>
      <w:tblPr>
        <w:tblW w:w="9573" w:type="dxa"/>
        <w:jc w:val="left"/>
        <w:tblInd w:w="0" w:type="dxa"/>
        <w:tblLayout w:type="fixed"/>
        <w:tblCellMar>
          <w:top w:w="0" w:type="dxa"/>
          <w:left w:w="0" w:type="dxa"/>
          <w:bottom w:w="0" w:type="dxa"/>
          <w:right w:w="0" w:type="dxa"/>
        </w:tblCellMar>
      </w:tblPr>
      <w:tblGrid>
        <w:gridCol w:w="23"/>
        <w:gridCol w:w="170"/>
        <w:gridCol w:w="9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Company’s </w:t>
            </w:r>
            <w:hyperlink r:id="rId4">
              <w:r>
                <w:rPr>
                  <w:rStyle w:val="InternetLink"/>
                  <w:rFonts w:ascii="Times New Roman;Times;serif" w:hAnsi="Times New Roman;Times;serif"/>
                  <w:b w:val="false"/>
                  <w:i w:val="false"/>
                  <w:caps w:val="false"/>
                  <w:smallCaps w:val="false"/>
                  <w:sz w:val="20"/>
                </w:rPr>
                <w:t>Quarterly Report on Form 10-Q for the quarterly period ended April 30, 2026, filed on June 8, 2026</w:t>
              </w:r>
            </w:hyperlink>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Company’s Current Reports on Form 8-K filed on </w:t>
            </w:r>
            <w:hyperlink r:id="rId5">
              <w:r>
                <w:rPr>
                  <w:rStyle w:val="InternetLink"/>
                  <w:rFonts w:ascii="Times New Roman;Times;serif" w:hAnsi="Times New Roman;Times;serif"/>
                  <w:b w:val="false"/>
                  <w:i w:val="false"/>
                  <w:caps w:val="false"/>
                  <w:smallCaps w:val="false"/>
                  <w:sz w:val="20"/>
                </w:rPr>
                <w:t>March 13,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May 4,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27, 2026</w:t>
              </w:r>
            </w:hyperlink>
            <w:r>
              <w:rPr>
                <w:caps w:val="false"/>
                <w:smallCaps w:val="false"/>
              </w:rPr>
              <w:t xml:space="preserve"> </w:t>
            </w:r>
            <w:r>
              <w:rPr>
                <w:rFonts w:ascii="Times New Roman;Times;serif" w:hAnsi="Times New Roman;Times;serif"/>
                <w:b w:val="false"/>
                <w:i w:val="false"/>
                <w:caps w:val="false"/>
                <w:smallCaps w:val="false"/>
                <w:sz w:val="20"/>
              </w:rPr>
              <w:t xml:space="preserve">and </w:t>
            </w:r>
            <w:hyperlink r:id="rId9">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the Company’s capital stock contained in the Company’s </w:t>
            </w:r>
            <w:hyperlink r:id="rId10">
              <w:r>
                <w:rPr>
                  <w:rStyle w:val="InternetLink"/>
                  <w:rFonts w:ascii="Times New Roman;Times;serif" w:hAnsi="Times New Roman;Times;serif"/>
                  <w:b w:val="false"/>
                  <w:i w:val="false"/>
                  <w:caps w:val="false"/>
                  <w:smallCaps w:val="false"/>
                  <w:sz w:val="20"/>
                </w:rPr>
                <w:t>Form 8-K filed on November 1, 2012</w:t>
              </w:r>
            </w:hyperlink>
            <w:r>
              <w:rPr>
                <w:rFonts w:ascii="Times New Roman;Times;serif" w:hAnsi="Times New Roman;Times;serif"/>
                <w:b w:val="false"/>
                <w:i w:val="false"/>
                <w:caps w:val="false"/>
                <w:smallCaps w:val="false"/>
                <w:sz w:val="20"/>
              </w:rPr>
              <w:t xml:space="preserve">, as amended by </w:t>
            </w:r>
            <w:hyperlink r:id="rId11">
              <w:r>
                <w:rPr>
                  <w:rStyle w:val="InternetLink"/>
                  <w:rFonts w:ascii="Times New Roman;Times;serif" w:hAnsi="Times New Roman;Times;serif"/>
                  <w:b w:val="false"/>
                  <w:i w:val="false"/>
                  <w:caps w:val="false"/>
                  <w:smallCaps w:val="false"/>
                  <w:sz w:val="20"/>
                </w:rPr>
                <w:t>Exhibit 4.2 (Description of Securities) to the Company’s Form 10-K filed on March 30, 2020</w:t>
              </w:r>
            </w:hyperlink>
            <w:r>
              <w:rPr>
                <w:rFonts w:ascii="Times New Roman;Times;serif" w:hAnsi="Times New Roman;Times;serif"/>
                <w:b w:val="false"/>
                <w:i w:val="false"/>
                <w:caps w:val="false"/>
                <w:smallCaps w:val="false"/>
                <w:sz w:val="20"/>
              </w:rPr>
              <w:t>, and as amended by any subsequent amendments and reports filed for the purpose of updating such description.</w:t>
            </w:r>
          </w:p>
        </w:tc>
      </w:tr>
    </w:tbl>
    <w:p>
      <w:pPr>
        <w:pStyle w:val="TextBody"/>
        <w:bidi w:val="0"/>
        <w:spacing w:before="0" w:after="240"/>
        <w:ind w:left="144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documents subsequently filed by the Company with the Commission pursuant to Sections 13(a), 13(c), 14 and 15(d) of the Securities Exchange Act of 1934, as amended, prior to the filing of a post-effective amendment indicating that all of the securities offered hereunder have been sold or deregistering all securities then remaining unsold, shall be deemed to be incorporated by reference herein and to be part hereof from the date of filing of such documents.  Any statement contained in a document incorporated by reference herein shall be deemed to be modified or superseded for purposes hereof to the extent that a statement contained herein or in any subsequently filed document that is also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Description of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5.            Interests of Named Experts and Counsel.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6.            Indemnification of Directors and Officers.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Section 102(b)(7) of the General Corporation Law of the State of Delaware (the “DGCL”) permits a corporation to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 in its certificate of incorporation a provision eliminating or limiting the personal liability of a director to the corporation or its stockholders for monetary damages for breach of fiduciary duty as a director, subject to certain exceptions, including for any breach of the director’s duty of loyalty, for acts or omissions not in good faith or involving intentional misconduct or a knowing violation of law, under Section 174 of the DGCL (relating to unlawful payments of dividends and unlawful stock purchases or redemptions) and for any transaction from which the director derived an improper personal benefit. Article Twelfth of the Company’s certificate of incorporation eliminates the personal liability of a director to the Company and its stockholders for monetary damages for breach of fiduciary duty as a director to the fullest extent permitted by the DGCL as it now exists or may hereafter be amended.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145 of the DGCL authorizes a corporation to indemnify its directors, officers, employees and agents against expenses (including attorneys’ fees), judgments, fines and amounts paid in settlement actually and reasonably incurred in connection with specified actions, suits or proceedings to which they are made a party by reason of their service in those capacities, and to advance expenses incurred in defending such proceedings, in each case subject to the standards and conditions set forth therein. Article VII of the Company’s by-laws provides for the indemnification of the directors, officers and employees of the Company, and for the advancement of expenses, in the circumstances and subject to the conditions set forth therein, consistent with Section 145 of the DGCL. In addition, the Company has entered into agreements with the directors and officers of the Company that require the Company to indemnify such individuals for liabilities incurred by them because of an act, omission, neglect or breach of duty committed while acting in the capacity of a director or officer. As permitted by Article VII of the Company’s by-laws and Section 145(g) of the DGCL, the Company maintains insurance on behalf of its directors and officers against certain liabilities that may be asserted against, or incurred by, them in those capacities.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summary is qualified in its entirety by reference to the detailed provisions of Sections 102(b)(7) and 145 of the DGCL and the Company’s certificate of incorporation and by-laws.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Company pursuant to the foregoing provisions, the Company has been advised that in the opinion of the Commission such indemnification is against public policy as expressed in the Securities Act and is therefore unenforceable.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7.            Exemption from Registration Claimed.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8.            Exhibits.</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The following exhibits are filed herewith or incorporated by reference as part of this Registration Statement.</w:t>
      </w:r>
    </w:p>
    <w:tbl>
      <w:tblPr>
        <w:tblW w:w="10205" w:type="dxa"/>
        <w:jc w:val="center"/>
        <w:tblInd w:w="0" w:type="dxa"/>
        <w:tblLayout w:type="fixed"/>
        <w:tblCellMar>
          <w:top w:w="0" w:type="dxa"/>
          <w:left w:w="0" w:type="dxa"/>
          <w:bottom w:w="0" w:type="dxa"/>
          <w:right w:w="0" w:type="dxa"/>
        </w:tblCellMar>
      </w:tblPr>
      <w:tblGrid>
        <w:gridCol w:w="751"/>
        <w:gridCol w:w="346"/>
        <w:gridCol w:w="9108"/>
      </w:tblGrid>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of Incorporation (incorporated by reference to the Company’s registration statement on Form S-1, filed on November 3, 1989).</w: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Certificate of Amendment of Certificate of Incorporation, dated June 8, 2006 (incorporated by reference to the Company’s quarterly report on Form 10-Q, filed on September 13, 2006).</w:t>
              </w:r>
            </w:hyperlink>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Certificate of Amendment of Certificate of Incorporation, dated June 7, 2011 (incorporated by reference to the Company’s current report on Form 8-K, filed on June 9, 2011).</w:t>
              </w:r>
            </w:hyperlink>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Certificate of Amendment of Certificate of Incorporation, dated June 30, 2015 (incorporated by reference to the Company’s current report on Form 8-K, filed on July 1, 2015).</w:t>
              </w:r>
            </w:hyperlink>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By-laws, as amended (incorporated by reference to the Company’s current report on Form 8-K, filed on March 15, 2013).</w:t>
              </w:r>
            </w:hyperlink>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555"/>
        <w:gridCol w:w="109"/>
        <w:gridCol w:w="9541"/>
      </w:tblGrid>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hyperlink w:anchor="giii-20260616xex5d1.htm">
              <w:r>
                <w:rPr>
                  <w:rStyle w:val="InternetLink"/>
                  <w:rFonts w:ascii="Times New Roman;Times;serif" w:hAnsi="Times New Roman;Times;serif"/>
                  <w:b w:val="false"/>
                  <w:i w:val="false"/>
                  <w:caps w:val="false"/>
                  <w:smallCaps w:val="false"/>
                  <w:sz w:val="20"/>
                </w:rPr>
                <w:t>Opinion of Paul, Weiss, Rifkind, Wharton &amp; Garrison LLP.</w:t>
              </w:r>
            </w:hyperlink>
          </w:p>
        </w:tc>
      </w:tr>
      <w:tr>
        <w:trPr/>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hyperlink w:anchor="giii-20260616xex5d1.htm">
              <w:r>
                <w:rPr>
                  <w:rStyle w:val="InternetLink"/>
                  <w:rFonts w:ascii="Times New Roman;Times;serif" w:hAnsi="Times New Roman;Times;serif"/>
                  <w:b w:val="false"/>
                  <w:i w:val="false"/>
                  <w:caps w:val="false"/>
                  <w:smallCaps w:val="false"/>
                  <w:sz w:val="20"/>
                </w:rPr>
                <w:t>Consent of Paul, Weiss, Rifkind, Wharton &amp; Garrison LLP</w:t>
              </w:r>
            </w:hyperlink>
            <w:hyperlink w:anchor="giii-20260616xex5d1.htm">
              <w:r>
                <w:rPr>
                  <w:rStyle w:val="InternetLink"/>
                  <w:rFonts w:ascii="'Times New Roman','Times','serif'" w:hAnsi="'Times New Roman','Times','serif'"/>
                  <w:caps w:val="false"/>
                  <w:smallCaps w:val="false"/>
                  <w:sz w:val="20"/>
                </w:rPr>
                <w:t xml:space="preserve"> </w:t>
              </w:r>
            </w:hyperlink>
            <w:hyperlink w:anchor="giii-20260616xex5d1.htm">
              <w:r>
                <w:rPr>
                  <w:rStyle w:val="InternetLink"/>
                  <w:rFonts w:ascii="Times New Roman;Times;serif" w:hAnsi="Times New Roman;Times;serif"/>
                  <w:b w:val="false"/>
                  <w:i w:val="false"/>
                  <w:caps w:val="false"/>
                  <w:smallCaps w:val="false"/>
                  <w:sz w:val="20"/>
                </w:rPr>
                <w:t>(included in Exhibit 5.1).</w:t>
              </w:r>
            </w:hyperlink>
          </w:p>
        </w:tc>
      </w:tr>
      <w:tr>
        <w:trPr/>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hyperlink w:anchor="giii-20260616xex23d2.htm">
              <w:r>
                <w:rPr>
                  <w:rStyle w:val="InternetLink"/>
                  <w:rFonts w:ascii="Times New Roman;Times;serif" w:hAnsi="Times New Roman;Times;serif"/>
                  <w:b w:val="false"/>
                  <w:i w:val="false"/>
                  <w:caps w:val="false"/>
                  <w:smallCaps w:val="false"/>
                  <w:sz w:val="20"/>
                </w:rPr>
                <w:t>Consent of Ernst &amp; Young LLP.</w:t>
              </w:r>
            </w:hyperlink>
          </w:p>
        </w:tc>
      </w:tr>
      <w:tr>
        <w:trPr/>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hyperlink w:anchor="POA">
              <w:r>
                <w:rPr>
                  <w:rStyle w:val="InternetLink"/>
                  <w:rFonts w:ascii="Times New Roman;Times;serif" w:hAnsi="Times New Roman;Times;serif"/>
                  <w:b w:val="false"/>
                  <w:i w:val="false"/>
                  <w:caps w:val="false"/>
                  <w:smallCaps w:val="false"/>
                  <w:sz w:val="20"/>
                </w:rPr>
                <w:t xml:space="preserve">Power of Attorney (included on signature page to this Registration Statement). </w:t>
              </w:r>
            </w:hyperlink>
          </w:p>
        </w:tc>
      </w:tr>
      <w:tr>
        <w:trPr/>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G-III Apparel Group, Ltd. 2023 Long-Term Incentive Plan (incorporated by reference to Appendix A to the Company’s proxy statement, filed on May 5, 2026).</w:t>
              </w:r>
            </w:hyperlink>
          </w:p>
        </w:tc>
      </w:tr>
      <w:tr>
        <w:trPr/>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hyperlink w:anchor="giii-20260616xexfees.htm">
              <w:r>
                <w:rPr>
                  <w:rStyle w:val="InternetLink"/>
                  <w:rFonts w:ascii="Times New Roman;Times;serif" w:hAnsi="Times New Roman;Times;serif"/>
                  <w:b w:val="false"/>
                  <w:i w:val="false"/>
                  <w:caps w:val="false"/>
                  <w:smallCaps w:val="false"/>
                  <w:sz w:val="20"/>
                </w:rPr>
                <w:t>Filing Fee Table.</w:t>
              </w:r>
            </w:hyperlink>
          </w:p>
        </w:tc>
      </w:tr>
      <w:tr>
        <w:trPr/>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6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18, 2026.</w:t>
      </w:r>
    </w:p>
    <w:tbl>
      <w:tblPr>
        <w:tblW w:w="2944" w:type="dxa"/>
        <w:jc w:val="center"/>
        <w:tblInd w:w="0" w:type="dxa"/>
        <w:tblLayout w:type="fixed"/>
        <w:tblCellMar>
          <w:top w:w="0" w:type="dxa"/>
          <w:left w:w="0" w:type="dxa"/>
          <w:bottom w:w="0" w:type="dxa"/>
          <w:right w:w="0" w:type="dxa"/>
        </w:tblCellMar>
      </w:tblPr>
      <w:tblGrid>
        <w:gridCol w:w="124"/>
        <w:gridCol w:w="473"/>
        <w:gridCol w:w="234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8740" cy="175260"/>
                      <wp:effectExtent l="0" t="0" r="0" b="0"/>
                      <wp:wrapNone/>
                      <wp:docPr id="3" name="Frame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00355" cy="175260"/>
                      <wp:effectExtent l="0" t="0" r="0" b="0"/>
                      <wp:wrapNone/>
                      <wp:docPr id="4" name="Frame4"/>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90980" cy="175260"/>
                      <wp:effectExtent l="0" t="0" r="0" b="0"/>
                      <wp:wrapNone/>
                      <wp:docPr id="5" name="Frame5"/>
                      <a:graphic xmlns:a="http://schemas.openxmlformats.org/drawingml/2006/main">
                        <a:graphicData uri="http://schemas.microsoft.com/office/word/2010/wordprocessingShape">
                          <wps:wsp>
                            <wps:cNvSpPr txBox="1"/>
                            <wps:spPr>
                              <a:xfrm>
                                <a:off x="0" y="0"/>
                                <a:ext cx="149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8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G-III APPAREL GROUP, LTD.</w:t>
            </w:r>
          </w:p>
        </w:tc>
      </w:tr>
      <w:tr>
        <w:trPr/>
        <w:tc>
          <w:tcPr>
            <w:tcW w:w="124" w:type="dxa"/>
            <w:tcBorders/>
            <w:vAlign w:val="center"/>
          </w:tcPr>
          <w:p>
            <w:pPr>
              <w:pStyle w:val="TableContents"/>
              <w:bidi w:val="0"/>
              <w:spacing w:before="0" w:after="0"/>
              <w:ind w:left="0" w:right="0" w:hanging="0"/>
              <w:jc w:val="left"/>
              <w:rPr/>
            </w:pPr>
            <w:r>
              <w:rPr/>
              <w:t>​</w:t>
            </w:r>
          </w:p>
        </w:tc>
        <w:tc>
          <w:tcPr>
            <w:tcW w:w="28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aps/>
              </w:rPr>
            </w:pPr>
            <w:r>
              <w:rPr>
                <w:caps/>
              </w:rPr>
              <w:t>​</w:t>
            </w:r>
          </w:p>
        </w:tc>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caps/>
                <w:sz w:val="20"/>
              </w:rPr>
              <w:t>:</w:t>
            </w:r>
          </w:p>
        </w:tc>
        <w:tc>
          <w:tcPr>
            <w:tcW w:w="23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24" w:type="dxa"/>
            <w:tcBorders/>
            <w:vAlign w:val="center"/>
          </w:tcPr>
          <w:p>
            <w:pPr>
              <w:pStyle w:val="TableContents"/>
              <w:bidi w:val="0"/>
              <w:spacing w:before="0" w:after="0"/>
              <w:ind w:left="0" w:right="0" w:hanging="0"/>
              <w:jc w:val="left"/>
              <w:rPr>
                <w:caps/>
              </w:rPr>
            </w:pPr>
            <w:r>
              <w:rPr>
                <w:caps/>
              </w:rPr>
              <w:t>​</w:t>
            </w:r>
          </w:p>
        </w:tc>
        <w:tc>
          <w:tcPr>
            <w:tcW w:w="473" w:type="dxa"/>
            <w:tcBorders/>
            <w:vAlign w:val="center"/>
          </w:tcPr>
          <w:p>
            <w:pPr>
              <w:pStyle w:val="TableContents"/>
              <w:bidi w:val="0"/>
              <w:spacing w:before="0" w:after="0"/>
              <w:ind w:left="0" w:right="0" w:hanging="0"/>
              <w:jc w:val="left"/>
              <w:rPr/>
            </w:pPr>
            <w:r>
              <w:rPr/>
              <w:t>​</w:t>
            </w:r>
          </w:p>
        </w:tc>
        <w:tc>
          <w:tcPr>
            <w:tcW w:w="2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24" w:type="dxa"/>
            <w:tcBorders/>
            <w:vAlign w:val="center"/>
          </w:tcPr>
          <w:p>
            <w:pPr>
              <w:pStyle w:val="TableContents"/>
              <w:bidi w:val="0"/>
              <w:spacing w:before="0" w:after="0"/>
              <w:ind w:left="0" w:right="0" w:hanging="0"/>
              <w:jc w:val="left"/>
              <w:rPr>
                <w:caps/>
              </w:rPr>
            </w:pPr>
            <w:r>
              <w:rPr>
                <w:caps/>
              </w:rPr>
              <w:t>​</w:t>
            </w:r>
          </w:p>
        </w:tc>
        <w:tc>
          <w:tcPr>
            <w:tcW w:w="473" w:type="dxa"/>
            <w:tcBorders/>
            <w:vAlign w:val="center"/>
          </w:tcPr>
          <w:p>
            <w:pPr>
              <w:pStyle w:val="TableContents"/>
              <w:bidi w:val="0"/>
              <w:spacing w:before="0" w:after="0"/>
              <w:ind w:left="0" w:right="0" w:hanging="0"/>
              <w:jc w:val="left"/>
              <w:rPr/>
            </w:pPr>
            <w:r>
              <w:rPr/>
              <w:t>​</w:t>
            </w:r>
          </w:p>
        </w:tc>
        <w:tc>
          <w:tcPr>
            <w:tcW w:w="2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POWER OF ATTORNEY</w:t>
      </w:r>
      <w:bookmarkStart w:id="4" w:name="POA"/>
      <w:bookmarkEnd w:id="4"/>
    </w:p>
    <w:p>
      <w:pPr>
        <w:pStyle w:val="TextBody"/>
        <w:bidi w:val="0"/>
        <w:spacing w:before="0" w:after="36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KNOW ALL PERSONS BY THESE PRESENTS, that each person whose signature appears below constitutes and appoints MORRIS GOLDFARB and NEAL S. NACKMAN, and each of them, his or her true and lawful attorneys-in-fact and agents, with full power of substitution and resubstitution, for him or her and in his or her name, place and stead, and in any and all capacities, to sign any and all amendments to this Registration Statement (including post-effective amendments), and to file the same, with all exhibits thereto, and other documents in connection therewith, with the Securities and Exchange Commission, granting 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either of them, or their or his or her substitute or substitutes, may lawfully do or cause to be done by virtue thereof.</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Act of 1933, this Registration Statement has been signed by the following persons in the capacities and on the dates indicated.</w:t>
      </w:r>
    </w:p>
    <w:p>
      <w:pPr>
        <w:pStyle w:val="TextBody"/>
        <w:bidi w:val="0"/>
        <w:spacing w:before="0" w:after="240"/>
        <w:ind w:left="0" w:right="0" w:firstLine="720"/>
        <w:jc w:val="both"/>
        <w:rPr/>
      </w:pPr>
      <w:r>
        <w:rPr/>
        <w:t>​</w:t>
      </w:r>
    </w:p>
    <w:tbl>
      <w:tblPr>
        <w:tblW w:w="9911" w:type="dxa"/>
        <w:jc w:val="center"/>
        <w:tblInd w:w="0" w:type="dxa"/>
        <w:tblLayout w:type="fixed"/>
        <w:tblCellMar>
          <w:top w:w="0" w:type="dxa"/>
          <w:left w:w="0" w:type="dxa"/>
          <w:bottom w:w="0" w:type="dxa"/>
          <w:right w:w="0" w:type="dxa"/>
        </w:tblCellMar>
      </w:tblPr>
      <w:tblGrid>
        <w:gridCol w:w="807"/>
        <w:gridCol w:w="707"/>
        <w:gridCol w:w="150"/>
        <w:gridCol w:w="171"/>
        <w:gridCol w:w="175"/>
        <w:gridCol w:w="5761"/>
        <w:gridCol w:w="171"/>
        <w:gridCol w:w="175"/>
        <w:gridCol w:w="541"/>
        <w:gridCol w:w="554"/>
        <w:gridCol w:w="109"/>
        <w:gridCol w:w="109"/>
        <w:gridCol w:w="109"/>
        <w:gridCol w:w="109"/>
        <w:gridCol w:w="109"/>
        <w:gridCol w:w="154"/>
      </w:tblGrid>
      <w:tr>
        <w:trPr/>
        <w:tc>
          <w:tcPr>
            <w:tcW w:w="1664"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56640" cy="175260"/>
                      <wp:effectExtent l="0" t="0" r="0" b="0"/>
                      <wp:wrapNone/>
                      <wp:docPr id="6" name="Frame6"/>
                      <a:graphic xmlns:a="http://schemas.openxmlformats.org/drawingml/2006/main">
                        <a:graphicData uri="http://schemas.microsoft.com/office/word/2010/wordprocessingShape">
                          <wps:wsp>
                            <wps:cNvSpPr txBox="1"/>
                            <wps:spPr>
                              <a:xfrm>
                                <a:off x="0" y="0"/>
                                <a:ext cx="1056640" cy="175260"/>
                              </a:xfrm>
                              <a:prstGeom prst="rect"/>
                              <a:solidFill>
                                <a:srgbClr val="FFFFFF"/>
                              </a:solidFill>
                            </wps:spPr>
                            <wps:txbx>
                              <w:txbxContent>
                                <w:p>
                                  <w:pPr>
                                    <w:pStyle w:val="TableContents"/>
                                    <w:bidi w:val="0"/>
                                    <w:spacing w:lineRule="auto" w:line="304" w:before="0" w:after="0"/>
                                    <w:ind w:left="0" w:right="0" w:firstLine="36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firstLine="360"/>
                              <w:jc w:val="both"/>
                              <w:rPr/>
                            </w:pPr>
                            <w:r>
                              <w:rPr/>
                              <w:t>​</w:t>
                            </w:r>
                          </w:p>
                        </w:txbxContent>
                      </v:textbox>
                      <w10:wrap type="none"/>
                    </v:rect>
                  </w:pict>
                </mc:Fallback>
              </mc:AlternateContent>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0"/>
                                    <w:ind w:left="0" w:right="0" w:firstLine="36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firstLine="360"/>
                              <w:jc w:val="both"/>
                              <w:rPr/>
                            </w:pPr>
                            <w:r>
                              <w:rPr/>
                              <w:t>​</w:t>
                            </w:r>
                          </w:p>
                        </w:txbxContent>
                      </v:textbox>
                      <w10:wrap type="none"/>
                    </v:rect>
                  </w:pict>
                </mc:Fallback>
              </mc:AlternateContent>
            </w:r>
          </w:p>
        </w:tc>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658235" cy="175260"/>
                      <wp:effectExtent l="0" t="0" r="0" b="0"/>
                      <wp:wrapNone/>
                      <wp:docPr id="8" name="Frame8"/>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lineRule="auto" w:line="304" w:before="0" w:after="0"/>
                                    <w:ind w:left="0" w:right="0" w:firstLine="36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firstLine="360"/>
                              <w:jc w:val="both"/>
                              <w:rPr/>
                            </w:pPr>
                            <w:r>
                              <w:rPr/>
                              <w:t>​</w:t>
                            </w:r>
                          </w:p>
                        </w:txbxContent>
                      </v:textbox>
                      <w10:wrap type="none"/>
                    </v:rect>
                  </w:pict>
                </mc:Fallback>
              </mc:AlternateContent>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0"/>
                                    <w:ind w:left="0" w:right="0" w:firstLine="36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firstLine="360"/>
                              <w:jc w:val="both"/>
                              <w:rPr/>
                            </w:pPr>
                            <w:r>
                              <w:rPr/>
                              <w:t>​</w:t>
                            </w:r>
                          </w:p>
                        </w:txbxContent>
                      </v:textbox>
                      <w10:wrap type="none"/>
                    </v:rect>
                  </w:pict>
                </mc:Fallback>
              </mc:AlternateContent>
            </w:r>
          </w:p>
        </w:tc>
        <w:tc>
          <w:tcPr>
            <w:tcW w:w="109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5325" cy="175260"/>
                      <wp:effectExtent l="0" t="0" r="0" b="0"/>
                      <wp:wrapNone/>
                      <wp:docPr id="10" name="Frame10"/>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lineRule="auto" w:line="304" w:before="0" w:after="0"/>
                                    <w:ind w:left="0" w:right="0" w:firstLine="36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firstLine="36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Signature</w:t>
            </w:r>
          </w:p>
        </w:tc>
        <w:tc>
          <w:tcPr>
            <w:tcW w:w="346"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  ​ ​ ​</w:t>
            </w:r>
          </w:p>
        </w:tc>
        <w:tc>
          <w:tcPr>
            <w:tcW w:w="576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Title</w:t>
            </w:r>
          </w:p>
        </w:tc>
        <w:tc>
          <w:tcPr>
            <w:tcW w:w="346"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  ​ ​ ​</w:t>
            </w:r>
          </w:p>
        </w:tc>
        <w:tc>
          <w:tcPr>
            <w:tcW w:w="109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Date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top w:val="single" w:sz="2" w:space="0" w:color="000000"/>
            </w:tcBorders>
            <w:tcMar>
              <w:top w:w="28" w:type="dxa"/>
            </w:tcMar>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top w:val="single" w:sz="2" w:space="0" w:color="000000"/>
            </w:tcBorders>
            <w:tcMar>
              <w:top w:w="28" w:type="dxa"/>
            </w:tcMar>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Morris Goldfarb</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7"/>
              </w:rPr>
              <w:t>Chairman of the Board and Chief Executive Officer (</w:t>
            </w:r>
            <w:r>
              <w:rPr>
                <w:rFonts w:ascii="Times New Roman;Times;serif" w:hAnsi="Times New Roman;Times;serif"/>
                <w:b w:val="false"/>
                <w:i/>
                <w:caps w:val="false"/>
                <w:smallCaps w:val="false"/>
                <w:color w:val="000000"/>
                <w:sz w:val="17"/>
              </w:rPr>
              <w:t>Principal Executive Officer</w:t>
            </w:r>
            <w:r>
              <w:rPr>
                <w:rFonts w:ascii="Times New Roman;Times;serif" w:hAnsi="Times New Roman;Times;serif"/>
                <w:b w:val="false"/>
                <w:i w:val="false"/>
                <w:caps w:val="false"/>
                <w:smallCaps w:val="false"/>
                <w:color w:val="000000"/>
                <w:sz w:val="17"/>
              </w:rPr>
              <w:t xml:space="preserve">)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Morris Goldfarb</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Neal S. Nackman</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7"/>
              </w:rPr>
              <w:t>Chief Financial Officer (</w:t>
            </w:r>
            <w:r>
              <w:rPr>
                <w:rFonts w:ascii="Times New Roman;Times;serif" w:hAnsi="Times New Roman;Times;serif"/>
                <w:b w:val="false"/>
                <w:i/>
                <w:caps w:val="false"/>
                <w:smallCaps w:val="false"/>
                <w:color w:val="000000"/>
                <w:sz w:val="17"/>
              </w:rPr>
              <w:t>Principal Financial and Accounting Officer</w:t>
            </w:r>
            <w:r>
              <w:rPr>
                <w:rFonts w:ascii="Times New Roman;Times;serif" w:hAnsi="Times New Roman;Times;serif"/>
                <w:b w:val="false"/>
                <w:i w:val="false"/>
                <w:caps w:val="false"/>
                <w:smallCaps w:val="false"/>
                <w:color w:val="000000"/>
                <w:sz w:val="17"/>
              </w:rPr>
              <w:t xml:space="preserve">)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Neal S. Nackman</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Sammy Aaron</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xml:space="preserve">Director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Sammy Aaron</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Thomas J. Brosig</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xml:space="preserve">Director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Thomas J. Brosig</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Dr. Joyce F. Brown</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Director</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Dr. Joyce F. Brown</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Jeffrey Goldfarb</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xml:space="preserve">Director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Jeffrey Goldfarb</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both"/>
              <w:rPr/>
            </w:pPr>
            <w:r>
              <w:rPr/>
              <w:t>​</w:t>
            </w:r>
          </w:p>
        </w:tc>
        <w:tc>
          <w:tcPr>
            <w:tcW w:w="5761" w:type="dxa"/>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both"/>
              <w:rPr/>
            </w:pPr>
            <w:r>
              <w:rPr/>
              <w:t>​</w:t>
            </w:r>
          </w:p>
        </w:tc>
        <w:tc>
          <w:tcPr>
            <w:tcW w:w="1095" w:type="dxa"/>
            <w:gridSpan w:val="2"/>
            <w:tcBorders/>
            <w:vAlign w:val="center"/>
          </w:tcPr>
          <w:p>
            <w:pPr>
              <w:pStyle w:val="TableContents"/>
              <w:bidi w:val="0"/>
              <w:spacing w:lineRule="auto" w:line="304"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Victor Herrero</w:t>
            </w:r>
          </w:p>
        </w:tc>
        <w:tc>
          <w:tcPr>
            <w:tcW w:w="346" w:type="dxa"/>
            <w:gridSpan w:val="2"/>
            <w:tcBorders/>
            <w:vAlign w:val="center"/>
          </w:tcPr>
          <w:p>
            <w:pPr>
              <w:pStyle w:val="TableContents"/>
              <w:bidi w:val="0"/>
              <w:spacing w:lineRule="auto" w:line="304" w:before="0" w:after="0"/>
              <w:ind w:left="0" w:right="0" w:hanging="0"/>
              <w:jc w:val="both"/>
              <w:rPr/>
            </w:pPr>
            <w:r>
              <w:rPr/>
              <w:t>​</w:t>
            </w:r>
          </w:p>
        </w:tc>
        <w:tc>
          <w:tcPr>
            <w:tcW w:w="5761" w:type="dxa"/>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Director</w:t>
            </w:r>
          </w:p>
        </w:tc>
        <w:tc>
          <w:tcPr>
            <w:tcW w:w="346" w:type="dxa"/>
            <w:gridSpan w:val="2"/>
            <w:tcBorders/>
            <w:vAlign w:val="center"/>
          </w:tcPr>
          <w:p>
            <w:pPr>
              <w:pStyle w:val="TableContents"/>
              <w:bidi w:val="0"/>
              <w:spacing w:lineRule="auto" w:line="304" w:before="0" w:after="0"/>
              <w:ind w:left="0" w:right="0" w:hanging="0"/>
              <w:jc w:val="both"/>
              <w:rPr/>
            </w:pPr>
            <w:r>
              <w:rPr/>
              <w:t>​</w:t>
            </w:r>
          </w:p>
        </w:tc>
        <w:tc>
          <w:tcPr>
            <w:tcW w:w="109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Victor Herrero</w:t>
            </w:r>
          </w:p>
        </w:tc>
        <w:tc>
          <w:tcPr>
            <w:tcW w:w="346" w:type="dxa"/>
            <w:gridSpan w:val="2"/>
            <w:tcBorders/>
            <w:vAlign w:val="center"/>
          </w:tcPr>
          <w:p>
            <w:pPr>
              <w:pStyle w:val="TableContents"/>
              <w:bidi w:val="0"/>
              <w:spacing w:lineRule="auto" w:line="304" w:before="0" w:after="0"/>
              <w:ind w:left="0" w:right="0" w:hanging="0"/>
              <w:jc w:val="both"/>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both"/>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Patti H. Ongman</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xml:space="preserve">Director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Patti H. Ongman</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Michael Shaffer</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Director</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Michael Shaffer</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 xml:space="preserve">/s/ Cheryl Vitali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xml:space="preserve">Director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Cheryl Vitali</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before="0" w:after="0"/>
              <w:ind w:left="0" w:right="0" w:hanging="0"/>
              <w:jc w:val="both"/>
              <w:rPr/>
            </w:pPr>
            <w:r>
              <w:rPr/>
              <w:t>​</w:t>
            </w:r>
          </w:p>
        </w:tc>
        <w:tc>
          <w:tcPr>
            <w:tcW w:w="5761" w:type="dxa"/>
            <w:tcBorders/>
            <w:vAlign w:val="center"/>
          </w:tcPr>
          <w:p>
            <w:pPr>
              <w:pStyle w:val="TableContents"/>
              <w:bidi w:val="0"/>
              <w:spacing w:before="0" w:after="0"/>
              <w:ind w:left="0" w:right="0" w:hanging="0"/>
              <w:jc w:val="both"/>
              <w:rPr/>
            </w:pPr>
            <w:r>
              <w:rPr/>
              <w:t>​</w:t>
            </w:r>
          </w:p>
        </w:tc>
        <w:tc>
          <w:tcPr>
            <w:tcW w:w="346" w:type="dxa"/>
            <w:gridSpan w:val="2"/>
            <w:tcBorders/>
            <w:vAlign w:val="center"/>
          </w:tcPr>
          <w:p>
            <w:pPr>
              <w:pStyle w:val="TableContents"/>
              <w:bidi w:val="0"/>
              <w:spacing w:before="0" w:after="0"/>
              <w:ind w:left="0" w:right="0" w:hanging="0"/>
              <w:jc w:val="both"/>
              <w:rPr/>
            </w:pPr>
            <w:r>
              <w:rPr/>
              <w:t>​</w:t>
            </w:r>
          </w:p>
        </w:tc>
        <w:tc>
          <w:tcPr>
            <w:tcW w:w="1095" w:type="dxa"/>
            <w:gridSpan w:val="2"/>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Richard White</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Director</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Richard White</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lineRule="auto" w:line="304" w:before="0" w:after="0"/>
              <w:ind w:left="0" w:right="0" w:hanging="0"/>
              <w:jc w:val="both"/>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5761" w:type="dxa"/>
            <w:tcBorders/>
            <w:vAlign w:val="center"/>
          </w:tcPr>
          <w:p>
            <w:pPr>
              <w:pStyle w:val="TableContents"/>
              <w:bidi w:val="0"/>
              <w:spacing w:lineRule="auto" w:line="304" w:before="0" w:after="0"/>
              <w:ind w:left="0" w:right="0" w:hanging="0"/>
              <w:jc w:val="center"/>
              <w:rPr/>
            </w:pPr>
            <w:r>
              <w:rPr/>
              <w:t>​</w:t>
            </w:r>
          </w:p>
        </w:tc>
        <w:tc>
          <w:tcPr>
            <w:tcW w:w="346" w:type="dxa"/>
            <w:gridSpan w:val="2"/>
            <w:tcBorders/>
            <w:vAlign w:val="center"/>
          </w:tcPr>
          <w:p>
            <w:pPr>
              <w:pStyle w:val="TableContents"/>
              <w:bidi w:val="0"/>
              <w:spacing w:lineRule="auto" w:line="304" w:before="0" w:after="0"/>
              <w:ind w:left="0" w:right="0" w:hanging="0"/>
              <w:jc w:val="center"/>
              <w:rPr/>
            </w:pPr>
            <w:r>
              <w:rPr/>
              <w:t>​</w:t>
            </w:r>
          </w:p>
        </w:tc>
        <w:tc>
          <w:tcPr>
            <w:tcW w:w="1095" w:type="dxa"/>
            <w:gridSpan w:val="2"/>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bottom w:val="single" w:sz="2" w:space="0" w:color="000000"/>
            </w:tcBorders>
            <w:tcMar>
              <w:bottom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/s/ Andrew Yaeger</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5761" w:type="dxa"/>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xml:space="preserve">Director </w:t>
            </w:r>
          </w:p>
        </w:tc>
        <w:tc>
          <w:tcPr>
            <w:tcW w:w="346" w:type="dxa"/>
            <w:gridSpan w:val="2"/>
            <w:vMerge w:val="restart"/>
            <w:tcBorders/>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095" w:type="dxa"/>
            <w:gridSpan w:val="2"/>
            <w:vMerge w:val="restart"/>
            <w:tcBorders/>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June 18,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64" w:type="dxa"/>
            <w:gridSpan w:val="3"/>
            <w:tcBorders>
              <w:top w:val="single" w:sz="2" w:space="0" w:color="000000"/>
            </w:tcBorders>
            <w:tcMar>
              <w:top w:w="28" w:type="dxa"/>
            </w:tcMar>
            <w:vAlign w:val="center"/>
          </w:tcPr>
          <w:p>
            <w:pPr>
              <w:pStyle w:val="TableContents"/>
              <w:bidi w:val="0"/>
              <w:spacing w:lineRule="auto" w:line="304" w:before="0" w:after="0"/>
              <w:ind w:left="0" w:right="0" w:hanging="0"/>
              <w:jc w:val="both"/>
              <w:rPr>
                <w:rFonts w:ascii="Times New Roman;Times;serif" w:hAnsi="Times New Roman;Times;serif"/>
                <w:sz w:val="17"/>
              </w:rPr>
            </w:pPr>
            <w:r>
              <w:rPr>
                <w:rFonts w:ascii="Times New Roman;Times;serif" w:hAnsi="Times New Roman;Times;serif"/>
                <w:sz w:val="17"/>
              </w:rPr>
              <w:t>Andrew Yaeger</w:t>
            </w:r>
          </w:p>
        </w:tc>
        <w:tc>
          <w:tcPr>
            <w:tcW w:w="346" w:type="dxa"/>
            <w:gridSpan w:val="2"/>
            <w:vMerge w:val="continue"/>
            <w:tcBorders/>
            <w:vAlign w:val="center"/>
          </w:tcPr>
          <w:p>
            <w:pPr>
              <w:pStyle w:val="Normal"/>
              <w:bidi w:val="0"/>
              <w:jc w:val="left"/>
              <w:rPr/>
            </w:pPr>
            <w:r>
              <w:rPr/>
            </w:r>
          </w:p>
        </w:tc>
        <w:tc>
          <w:tcPr>
            <w:tcW w:w="5761" w:type="dxa"/>
            <w:vMerge w:val="continue"/>
            <w:tcBorders/>
            <w:vAlign w:val="center"/>
          </w:tcPr>
          <w:p>
            <w:pPr>
              <w:pStyle w:val="Normal"/>
              <w:bidi w:val="0"/>
              <w:jc w:val="left"/>
              <w:rPr/>
            </w:pPr>
            <w:r>
              <w:rPr/>
            </w:r>
          </w:p>
        </w:tc>
        <w:tc>
          <w:tcPr>
            <w:tcW w:w="346" w:type="dxa"/>
            <w:gridSpan w:val="2"/>
            <w:vMerge w:val="continue"/>
            <w:tcBorders/>
            <w:vAlign w:val="center"/>
          </w:tcPr>
          <w:p>
            <w:pPr>
              <w:pStyle w:val="Normal"/>
              <w:bidi w:val="0"/>
              <w:jc w:val="left"/>
              <w:rPr/>
            </w:pPr>
            <w:r>
              <w:rPr/>
            </w:r>
          </w:p>
        </w:tc>
        <w:tc>
          <w:tcPr>
            <w:tcW w:w="1095"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807" w:type="dxa"/>
            <w:tcBorders/>
            <w:vAlign w:val="center"/>
          </w:tcPr>
          <w:p>
            <w:pPr>
              <w:pStyle w:val="TableHeading"/>
              <w:bidi w:val="0"/>
              <w:spacing w:before="0" w:after="0"/>
              <w:ind w:left="0" w:right="0" w:hanging="0"/>
              <w:jc w:val="left"/>
              <w:rPr/>
            </w:pPr>
            <w:r>
              <w:rPr/>
              <w:t>​</w:t>
            </w:r>
          </w:p>
        </w:tc>
        <w:tc>
          <w:tcPr>
            <w:tcW w:w="707" w:type="dxa"/>
            <w:tcBorders/>
            <w:vAlign w:val="center"/>
          </w:tcPr>
          <w:p>
            <w:pPr>
              <w:pStyle w:val="TableHeading"/>
              <w:bidi w:val="0"/>
              <w:spacing w:before="0" w:after="0"/>
              <w:ind w:left="0" w:right="0" w:hanging="0"/>
              <w:jc w:val="left"/>
              <w:rPr/>
            </w:pPr>
            <w:r>
              <w:rPr/>
              <w:t>​</w:t>
            </w:r>
          </w:p>
        </w:tc>
        <w:tc>
          <w:tcPr>
            <w:tcW w:w="6428" w:type="dxa"/>
            <w:gridSpan w:val="5"/>
            <w:tcBorders/>
            <w:vAlign w:val="center"/>
          </w:tcPr>
          <w:p>
            <w:pPr>
              <w:pStyle w:val="TableHeading"/>
              <w:bidi w:val="0"/>
              <w:spacing w:before="0" w:after="0"/>
              <w:ind w:left="0" w:right="0" w:hanging="0"/>
              <w:jc w:val="left"/>
              <w:rPr/>
            </w:pPr>
            <w:r>
              <w:rPr/>
              <w:t>​</w:t>
            </w:r>
          </w:p>
        </w:tc>
        <w:tc>
          <w:tcPr>
            <w:tcW w:w="1270" w:type="dxa"/>
            <w:gridSpan w:val="3"/>
            <w:tcBorders/>
            <w:vAlign w:val="center"/>
          </w:tcPr>
          <w:p>
            <w:pPr>
              <w:pStyle w:val="TableHeading"/>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835" w:type="dxa"/>
            <w:gridSpan w:val="4"/>
            <w:tcBorders/>
            <w:vAlign w:val="center"/>
          </w:tcPr>
          <w:p>
            <w:pPr>
              <w:pStyle w:val="TableHeading"/>
              <w:bidi w:val="0"/>
              <w:spacing w:before="0" w:after="283"/>
              <w:ind w:left="0" w:right="0" w:hanging="0"/>
              <w:rPr>
                <w:sz w:val="4"/>
                <w:szCs w:val="4"/>
              </w:rPr>
            </w:pPr>
            <w:r>
              <w:rPr>
                <w:sz w:val="4"/>
                <w:szCs w:val="4"/>
              </w:rPr>
            </w:r>
          </w:p>
        </w:tc>
        <w:tc>
          <w:tcPr>
            <w:tcW w:w="6823" w:type="dxa"/>
            <w:gridSpan w:val="5"/>
            <w:tcBorders/>
            <w:vAlign w:val="center"/>
          </w:tcPr>
          <w:p>
            <w:pPr>
              <w:pStyle w:val="TableHeading"/>
              <w:bidi w:val="0"/>
              <w:spacing w:before="0" w:after="283"/>
              <w:ind w:left="0" w:right="0" w:hanging="0"/>
              <w:rPr>
                <w:sz w:val="4"/>
                <w:szCs w:val="4"/>
              </w:rPr>
            </w:pPr>
            <w:r>
              <w:rPr>
                <w:sz w:val="4"/>
                <w:szCs w:val="4"/>
              </w:rPr>
            </w:r>
          </w:p>
        </w:tc>
        <w:tc>
          <w:tcPr>
            <w:tcW w:w="663" w:type="dxa"/>
            <w:gridSpan w:val="2"/>
            <w:tcBorders/>
            <w:vAlign w:val="center"/>
          </w:tcPr>
          <w:p>
            <w:pPr>
              <w:pStyle w:val="TableHeading"/>
              <w:bidi w:val="0"/>
              <w:spacing w:before="0" w:after="283"/>
              <w:ind w:left="0" w:right="0" w:hanging="0"/>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Heading"/>
              <w:bidi w:val="0"/>
              <w:spacing w:before="0" w:after="0"/>
              <w:ind w:left="0" w:right="0" w:hanging="0"/>
              <w:jc w:val="left"/>
              <w:rPr/>
            </w:pPr>
            <w:r>
              <w:rPr/>
              <w:t>​</w:t>
            </w:r>
          </w:p>
        </w:tc>
        <w:tc>
          <w:tcPr>
            <w:tcW w:w="707" w:type="dxa"/>
            <w:tcBorders/>
            <w:vAlign w:val="center"/>
          </w:tcPr>
          <w:p>
            <w:pPr>
              <w:pStyle w:val="TableHeading"/>
              <w:bidi w:val="0"/>
              <w:spacing w:before="0" w:after="0"/>
              <w:ind w:left="0" w:right="0" w:hanging="0"/>
              <w:jc w:val="left"/>
              <w:rPr/>
            </w:pPr>
            <w:r>
              <w:rPr/>
              <w:t>​</w:t>
            </w:r>
          </w:p>
        </w:tc>
        <w:tc>
          <w:tcPr>
            <w:tcW w:w="6428" w:type="dxa"/>
            <w:gridSpan w:val="5"/>
            <w:tcBorders/>
            <w:vAlign w:val="center"/>
          </w:tcPr>
          <w:p>
            <w:pPr>
              <w:pStyle w:val="TableHeading"/>
              <w:bidi w:val="0"/>
              <w:spacing w:before="0" w:after="0"/>
              <w:ind w:left="0" w:right="0" w:hanging="0"/>
              <w:jc w:val="left"/>
              <w:rPr/>
            </w:pPr>
            <w:r>
              <w:rPr/>
              <w:t>​</w:t>
            </w:r>
          </w:p>
        </w:tc>
        <w:tc>
          <w:tcPr>
            <w:tcW w:w="1270" w:type="dxa"/>
            <w:gridSpan w:val="3"/>
            <w:tcBorders/>
            <w:vAlign w:val="center"/>
          </w:tcPr>
          <w:p>
            <w:pPr>
              <w:pStyle w:val="TableHeading"/>
              <w:bidi w:val="0"/>
              <w:spacing w:before="0" w:after="0"/>
              <w:ind w:left="0" w:right="0" w:hanging="0"/>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bookmarkStart w:id="5" w:name="giii-20260616xex5d1.htm"/>
      <w:bookmarkStart w:id="6" w:name="ksgiii20260616xex5d1"/>
      <w:bookmarkEnd w:id="5"/>
      <w:bookmarkEnd w:id="6"/>
      <w:r>
        <w:rPr/>
        <w:t>​</w:t>
      </w:r>
      <w:r>
        <w:br w:type="page"/>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b/>
          <w:caps/>
          <w:sz w:val="20"/>
        </w:rPr>
        <w:t>Exhibit</w:t>
      </w:r>
      <w:r>
        <w:rPr>
          <w:rFonts w:ascii="Times New Roman;Times;serif" w:hAnsi="Times New Roman;Times;serif"/>
          <w:sz w:val="20"/>
        </w:rPr>
        <w:t xml:space="preserve"> </w:t>
      </w:r>
      <w:r>
        <w:rPr>
          <w:rFonts w:ascii="Times New Roman;Times;serif" w:hAnsi="Times New Roman;Times;serif"/>
          <w:b/>
          <w:sz w:val="20"/>
        </w:rPr>
        <w:t>5.1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Paul, Weiss, Rifkind, Wharton &amp; Garrison LLP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1285 Avenue of the Americas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New York 10019-6064</w:t>
      </w:r>
    </w:p>
    <w:p>
      <w:pPr>
        <w:pStyle w:val="TextBody"/>
        <w:bidi w:val="0"/>
        <w:spacing w:before="1800" w:after="0"/>
        <w:ind w:left="0" w:right="0" w:hanging="0"/>
        <w:jc w:val="left"/>
        <w:rPr>
          <w:rFonts w:ascii="Times New Roman;Times;serif" w:hAnsi="Times New Roman;Times;serif"/>
          <w:sz w:val="20"/>
        </w:rPr>
      </w:pPr>
      <w:r>
        <w:rPr>
          <w:rFonts w:ascii="Times New Roman;Times;serif" w:hAnsi="Times New Roman;Times;serif"/>
          <w:sz w:val="20"/>
        </w:rPr>
        <w:t>212-373-3000</w:t>
      </w:r>
    </w:p>
    <w:p>
      <w:pPr>
        <w:pStyle w:val="TextBody"/>
        <w:bidi w:val="0"/>
        <w:spacing w:before="360" w:after="0"/>
        <w:ind w:left="0" w:right="0" w:hanging="0"/>
        <w:jc w:val="left"/>
        <w:rPr>
          <w:rFonts w:ascii="Times New Roman;Times;serif" w:hAnsi="Times New Roman;Times;serif"/>
          <w:sz w:val="20"/>
        </w:rPr>
      </w:pPr>
      <w:r>
        <w:rPr>
          <w:rFonts w:ascii="Times New Roman;Times;serif" w:hAnsi="Times New Roman;Times;serif"/>
          <w:sz w:val="20"/>
        </w:rPr>
        <w:t xml:space="preserve">212-757-3990 </w:t>
      </w:r>
    </w:p>
    <w:p>
      <w:pPr>
        <w:pStyle w:val="TextBody"/>
        <w:bidi w:val="0"/>
        <w:spacing w:before="360" w:after="0"/>
        <w:ind w:left="0" w:right="0" w:hanging="0"/>
        <w:jc w:val="left"/>
        <w:rPr/>
      </w:pPr>
      <w:r>
        <w:rPr/>
        <w:t>​</w:t>
      </w:r>
    </w:p>
    <w:p>
      <w:pPr>
        <w:pStyle w:val="TextBody"/>
        <w:bidi w:val="0"/>
        <w:spacing w:before="1800" w:after="480"/>
        <w:ind w:left="0" w:right="0" w:hanging="0"/>
        <w:jc w:val="center"/>
        <w:rPr>
          <w:rFonts w:ascii="Times New Roman;Times;serif" w:hAnsi="Times New Roman;Times;serif"/>
          <w:sz w:val="20"/>
        </w:rPr>
      </w:pPr>
      <w:bookmarkStart w:id="7" w:name="autodate"/>
      <w:bookmarkEnd w:id="7"/>
      <w:r>
        <w:rPr>
          <w:rFonts w:ascii="Times New Roman;Times;serif" w:hAnsi="Times New Roman;Times;serif"/>
          <w:sz w:val="20"/>
        </w:rPr>
        <w:t>June 18,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G-III Apparel Group, Ltd.</w:t>
        <w:br/>
        <w:t>512 Seventh Avenue</w:t>
        <w:br/>
        <w:t>New York, New York 10018</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Registration Statement on Form S-8</w:t>
        <w:b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lineRule="auto" w:line="571" w:before="0" w:after="120"/>
        <w:ind w:left="0" w:right="0" w:firstLine="720"/>
        <w:jc w:val="left"/>
        <w:rPr>
          <w:rFonts w:ascii="Times New Roman;Times;serif" w:hAnsi="Times New Roman;Times;serif"/>
          <w:sz w:val="20"/>
        </w:rPr>
      </w:pPr>
      <w:r>
        <w:rPr>
          <w:rFonts w:ascii="Times New Roman;Times;serif" w:hAnsi="Times New Roman;Times;serif"/>
          <w:sz w:val="20"/>
        </w:rPr>
        <w:t>We have acted as special counsel to G-III Apparel Group, Ltd., a Delaware corporation (the “Company”), in connection with the Registration Statement on Form S-8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2,500,000 shares (the “Shares”) of the Company’s common stock, par value $0.01 per share (the “Common Stock”), that are reserved for issuance under the G-III Apparel Group, Ltd. 2023 Long-Term Incentive Plan, as amended (the “Plan”).</w:t>
      </w:r>
    </w:p>
    <w:p>
      <w:pPr>
        <w:pStyle w:val="TextBody"/>
        <w:bidi w:val="0"/>
        <w:spacing w:lineRule="auto" w:line="571"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furnishing of this opinion, we have examined originals, or copies certified or otherwise identified to our satisfaction, of the following documents (collectively, the “Documents”): </w:t>
      </w:r>
    </w:p>
    <w:p>
      <w:pPr>
        <w:pStyle w:val="TextBody"/>
        <w:bidi w:val="0"/>
        <w:spacing w:lineRule="auto" w:line="571"/>
        <w:ind w:left="0" w:right="0" w:hanging="0"/>
        <w:jc w:val="left"/>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0"/>
        </w:rPr>
        <w:t>the Registration Statement;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lineRule="auto" w:line="571" w:before="0" w:after="0"/>
        <w:ind w:left="0" w:right="0" w:hanging="0"/>
        <w:jc w:val="left"/>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0"/>
        </w:rPr>
        <w:t>the Plan and the forms of award agreements (the “Agreements”) relating to awards to acquire Shares granted under the Plan; and</w:t>
      </w:r>
    </w:p>
    <w:p>
      <w:pPr>
        <w:pStyle w:val="TextBody"/>
        <w:bidi w:val="0"/>
        <w:spacing w:lineRule="auto" w:line="571"/>
        <w:ind w:left="0" w:right="0" w:hanging="0"/>
        <w:jc w:val="left"/>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0"/>
        </w:rPr>
        <w:t>a copy of the certificate of incorporation, as amended, and by-laws, as amended, of the Company, certified by the Company as in effect on the date of this letter.</w:t>
      </w:r>
    </w:p>
    <w:p>
      <w:pPr>
        <w:pStyle w:val="TextBody"/>
        <w:bidi w:val="0"/>
        <w:spacing w:lineRule="auto" w:line="571" w:before="0" w:after="120"/>
        <w:ind w:left="0" w:right="0" w:firstLine="720"/>
        <w:jc w:val="left"/>
        <w:rPr>
          <w:rFonts w:ascii="Times New Roman;Times;serif" w:hAnsi="Times New Roman;Times;serif"/>
          <w:sz w:val="20"/>
        </w:rPr>
      </w:pPr>
      <w:r>
        <w:rPr>
          <w:rFonts w:ascii="Times New Roman;Times;serif" w:hAnsi="Times New Roman;Times;serif"/>
          <w:sz w:val="20"/>
        </w:rPr>
        <w:t>In addition, we have examined (i) such corporate records of the Company that we have considered appropriate, including copies of resolutions of the board of directors of the Company relating to the issuance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pStyle w:val="TextBody"/>
        <w:bidi w:val="0"/>
        <w:spacing w:lineRule="auto" w:line="571" w:before="0" w:after="0"/>
        <w:ind w:left="0" w:right="0" w:hanging="0"/>
        <w:jc w:val="left"/>
        <w:rPr>
          <w:rFonts w:ascii="Times New Roman;Times;serif" w:hAnsi="Times New Roman;Times;serif"/>
          <w:sz w:val="20"/>
        </w:rPr>
      </w:pPr>
      <w:r>
        <w:rPr>
          <w:rFonts w:ascii="Times New Roman;Times;serif" w:hAnsi="Times New Roman;Times;serif"/>
          <w:sz w:val="20"/>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pStyle w:val="TextBody"/>
        <w:bidi w:val="0"/>
        <w:spacing w:lineRule="auto" w:line="571" w:before="0" w:after="120"/>
        <w:ind w:left="0" w:right="0" w:firstLine="720"/>
        <w:jc w:val="left"/>
        <w:rPr>
          <w:rFonts w:ascii="Times New Roman;Times;serif" w:hAnsi="Times New Roman;Times;serif"/>
          <w:sz w:val="20"/>
        </w:rPr>
      </w:pPr>
      <w:r>
        <w:rPr>
          <w:rFonts w:ascii="Times New Roman;Times;serif" w:hAnsi="Times New Roman;Times;serif"/>
          <w:sz w:val="20"/>
        </w:rPr>
        <w:t>Based upon the above, and subject to the stated assumptions, exceptions and qualifications, we are of the opinion that the Shares have been duly authorized by all necessary corporate action on the part of the Company and, when issued and delivered in accordance with the terms of the Plan and any applicable Agreement under the Plan, the Shares will be validly issued, fully paid and non-assessable.</w:t>
      </w:r>
    </w:p>
    <w:p>
      <w:pPr>
        <w:pStyle w:val="TextBody"/>
        <w:bidi w:val="0"/>
        <w:spacing w:lineRule="auto" w:line="571"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opinion expressed above is limited to the General Corporation Law of the State of Delaware. Our opinion is rendered only with respect to the laws, and the rules, regulations and orders under those laws, that are currently in effect. </w:t>
      </w:r>
    </w:p>
    <w:p>
      <w:pPr>
        <w:pStyle w:val="TextBody"/>
        <w:bidi w:val="0"/>
        <w:spacing w:lineRule="auto" w:line="571" w:before="0" w:after="120"/>
        <w:ind w:left="0" w:right="0" w:firstLine="720"/>
        <w:jc w:val="left"/>
        <w:rPr>
          <w:rFonts w:ascii="Times New Roman;Times;serif" w:hAnsi="Times New Roman;Times;serif"/>
          <w:sz w:val="20"/>
        </w:rPr>
      </w:pPr>
      <w:r>
        <w:rPr>
          <w:rFonts w:ascii="Times New Roman;Times;serif" w:hAnsi="Times New Roman;Times;serif"/>
          <w:sz w:val="20"/>
        </w:rPr>
        <w:t>We hereby consent to use of this opinion as an exhibit to the Registration Statement. In giving this consent, we do not thereby admit that we come within the category of persons whose consent is required by the Act or the Rules.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Very truly yours,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 Paul, Weiss, Rifkind, Wharton &amp; Garrison LLP</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PAUL, WEISS, RIFKIND, WHARTON &amp; GARRISON LLP</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bookmarkStart w:id="8" w:name="giii-20260616xex23d2.htm"/>
      <w:bookmarkStart w:id="9" w:name="ksgiii20260616xex23d2"/>
      <w:bookmarkEnd w:id="8"/>
      <w:bookmarkEnd w:id="9"/>
      <w:r>
        <w:rPr>
          <w:rFonts w:ascii="Times New Roman;Times;serif" w:hAnsi="Times New Roman;Times;serif"/>
          <w:b/>
          <w:sz w:val="22"/>
        </w:rPr>
        <w:t>Exhibit 23.2</w:t>
      </w:r>
      <w:r>
        <w:br w:type="page"/>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(Form S-8) pertaining to the 2023 Long-Term Incentive Plan of G-III Apparel Group, Ltd. of our reports dated March 24, 2026, with respect to the consolidated financial statements of G-III Apparel Group, Ltd. and the effectiveness of internal control over financial reporting of G-III Apparel Group, Ltd. included in its Annual Report (Form 10-K) for the year ended January 31, 2026, filed with the Securities and Exchange Commission.</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New York, New York</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June 18,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0" w:name="giii-20260616xexfees.htm"/>
      <w:bookmarkStart w:id="11" w:name="ksgiii20260616xexfees"/>
      <w:bookmarkStart w:id="12" w:name="giii-20260616xexfees.htm"/>
      <w:bookmarkStart w:id="13" w:name="ksgiii20260616xexfees"/>
      <w:bookmarkEnd w:id="12"/>
      <w:bookmarkEnd w:id="13"/>
      <w:r>
        <w:br w:type="page"/>
      </w:r>
    </w:p>
    <w:tbl>
      <w:tblPr>
        <w:tblW w:w="4100" w:type="dxa"/>
        <w:jc w:val="left"/>
        <w:tblInd w:w="0" w:type="dxa"/>
        <w:tblLayout w:type="fixed"/>
        <w:tblCellMar>
          <w:top w:w="28" w:type="dxa"/>
          <w:left w:w="28" w:type="dxa"/>
          <w:bottom w:w="28" w:type="dxa"/>
          <w:right w:w="28" w:type="dxa"/>
        </w:tblCellMar>
      </w:tblPr>
      <w:tblGrid>
        <w:gridCol w:w="3946"/>
        <w:gridCol w:w="154"/>
      </w:tblGrid>
      <w:tr>
        <w:trPr/>
        <w:tc>
          <w:tcPr>
            <w:tcW w:w="410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94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b/>
              </w:rPr>
            </w:pPr>
            <w:r>
              <w:rPr>
                <w:b/>
              </w:rPr>
              <w:t xml:space="preserve">G III APPAREL GROUP LTD /DE/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$0.01 par value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2,500,000 </w:t>
            </w:r>
          </w:p>
        </w:tc>
        <w:tc>
          <w:tcPr>
            <w:tcW w:w="1214" w:type="dxa"/>
            <w:tcBorders/>
            <w:shd w:fill="E7E7E2" w:val="clear"/>
            <w:vAlign w:val="center"/>
          </w:tcPr>
          <w:p>
            <w:pPr>
              <w:pStyle w:val="TableContents"/>
              <w:bidi w:val="0"/>
              <w:spacing w:before="0" w:after="283"/>
              <w:jc w:val="right"/>
              <w:rPr/>
            </w:pPr>
            <w:r>
              <w:rPr/>
              <w:t xml:space="preserve">$ 34.835 </w:t>
            </w:r>
          </w:p>
        </w:tc>
        <w:tc>
          <w:tcPr>
            <w:tcW w:w="1702" w:type="dxa"/>
            <w:tcBorders/>
            <w:shd w:fill="E7E7E2" w:val="clear"/>
            <w:vAlign w:val="center"/>
          </w:tcPr>
          <w:p>
            <w:pPr>
              <w:pStyle w:val="TableContents"/>
              <w:bidi w:val="0"/>
              <w:spacing w:before="0" w:after="283"/>
              <w:jc w:val="right"/>
              <w:rPr/>
            </w:pPr>
            <w:r>
              <w:rPr/>
              <w:t xml:space="preserve">$ 87,087,500.00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$ 12,026.78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14" w:name="MaxAggtOfferingPrice"/>
            <w:bookmarkEnd w:id="14"/>
            <w:r>
              <w:rPr/>
              <w:t xml:space="preserve">$ 87,087,500.00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5" w:name="TotalFeeAmt"/>
            <w:bookmarkEnd w:id="15"/>
            <w:r>
              <w:rPr/>
              <w:t xml:space="preserve">$ 12,026.78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6" w:name="TotalOffsetAmt"/>
            <w:bookmarkEnd w:id="1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7" w:name="NetFeeAmt"/>
            <w:bookmarkEnd w:id="17"/>
            <w:r>
              <w:rPr/>
              <w:t xml:space="preserve">$ 12,026.78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9"/>
        <w:gridCol w:w="8705"/>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Note 1(a): Represents shares of common stock being registered for issuance under the G-III 2023 Long-Term Incentive Plan (the "2023 Plan"). Pursuant to Rule 416 under the Securities Act of 1933, as amended (the "Securities Act"), this registration statement shall also be deemed to cover any additional securities to be offered or issued in connection with the provisions of the above-referenced plan by reason of any stock splits, stock dividends, recapitalizations, or similar events or transactions. Note 1(b): Estimated pursuant to Rule 457(c) and 457(h) under the Securities Act solely for the purpose of calculating the registration fee on the basis of the average of the high and low sales prices per share of the common stock as reported by the Nasdaq Stock Market on June 16, 2026. Proposed sales to take place as soon after the effective date of this registration statement as awards are granted, exercised, or distributed under the 2023 Plan.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21002/000110465926033891/giii-20260131x10k.htm" TargetMode="External"/><Relationship Id="rId3" Type="http://schemas.openxmlformats.org/officeDocument/2006/relationships/hyperlink" Target="https://www.sec.gov/ix?doc=/Archives/edgar/data/0000821002/000110465926055621/giii-20260611xdef14a.htm" TargetMode="External"/><Relationship Id="rId4" Type="http://schemas.openxmlformats.org/officeDocument/2006/relationships/hyperlink" Target="https://www.sec.gov/ix?doc=/Archives/edgar/data/0000821002/000110465926071371/giii-20260430x10q.htm" TargetMode="External"/><Relationship Id="rId5" Type="http://schemas.openxmlformats.org/officeDocument/2006/relationships/hyperlink" Target="https://www.sec.gov/ix?doc=/Archives/edgar/data/0000821002/000110465926027354/giii-20260312x8k.htm" TargetMode="External"/><Relationship Id="rId6" Type="http://schemas.openxmlformats.org/officeDocument/2006/relationships/hyperlink" Target="https://www.sec.gov/ix?doc=/Archives/edgar/data/0000821002/000110465926054873/giii-20260430x8k.htm" TargetMode="External"/><Relationship Id="rId7" Type="http://schemas.openxmlformats.org/officeDocument/2006/relationships/hyperlink" Target="https://www.sec.gov/ix?doc=/Archives/edgar/data/0000821002/000095014226001394/eh260778952_8k.htm" TargetMode="External"/><Relationship Id="rId8" Type="http://schemas.openxmlformats.org/officeDocument/2006/relationships/hyperlink" Target="https://www.sec.gov/ix?doc=/Archives/edgar/data/0000821002/000110465926066598/giii-20260526x8k.htm" TargetMode="External"/><Relationship Id="rId9" Type="http://schemas.openxmlformats.org/officeDocument/2006/relationships/hyperlink" Target="https://www.sec.gov/ix?doc=/Archives/edgar/data/0000821002/000110465926073423/giii-20260611x8k.htm" TargetMode="External"/><Relationship Id="rId10" Type="http://schemas.openxmlformats.org/officeDocument/2006/relationships/hyperlink" Target="https://www.sec.gov/Archives/edgar/data/821002/000119312512446616/d432017dex991.htm" TargetMode="External"/><Relationship Id="rId11" Type="http://schemas.openxmlformats.org/officeDocument/2006/relationships/hyperlink" Target="https://www.sec.gov/Archives/edgar/data/821002/000155837020003389/ex-4d2.htm" TargetMode="External"/><Relationship Id="rId12" Type="http://schemas.openxmlformats.org/officeDocument/2006/relationships/hyperlink" Target="https://www.sec.gov/Archives/edgar/data/821002/000095013606007680/file2.htm" TargetMode="External"/><Relationship Id="rId13" Type="http://schemas.openxmlformats.org/officeDocument/2006/relationships/hyperlink" Target="https://www.sec.gov/Archives/edgar/data/821002/000095012311057737/y04932exv3w1.htm" TargetMode="External"/><Relationship Id="rId14" Type="http://schemas.openxmlformats.org/officeDocument/2006/relationships/hyperlink" Target="https://www.sec.gov/Archives/edgar/data/821002/000157104915005420/t1501536_ex3-1.htm" TargetMode="External"/><Relationship Id="rId15" Type="http://schemas.openxmlformats.org/officeDocument/2006/relationships/hyperlink" Target="https://www.sec.gov/Archives/edgar/data/821002/000119312513107874/d503217dex31.htm" TargetMode="External"/><Relationship Id="rId16" Type="http://schemas.openxmlformats.org/officeDocument/2006/relationships/hyperlink" Target="https://www.sec.gov/ix?doc=/Archives/edgar/data/0000821002/000110465926055621/giii-20260611xdef14a.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2926</Words>
  <Characters>15588</Characters>
  <CharactersWithSpaces>18688</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